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48"/>
          <w:szCs w:val="48"/>
          <w:shd w:val="clear" w:fill="FFFFFF"/>
          <w:lang w:val="en-US" w:eastAsia="zh-CN" w:bidi="ar"/>
        </w:rPr>
        <w:t>复兴区人民检察院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Calibri" w:hAnsi="Calibri" w:cs="Calibri"/>
          <w:b w:val="0"/>
          <w:i w:val="0"/>
          <w:caps w:val="0"/>
          <w:color w:val="3A3836"/>
          <w:spacing w:val="0"/>
          <w:sz w:val="21"/>
          <w:szCs w:val="21"/>
        </w:rPr>
      </w:pPr>
      <w:r>
        <w:rPr>
          <w:rFonts w:hint="eastAsia" w:ascii="方正小标宋_GBK" w:hAnsi="方正小标宋_GBK" w:eastAsia="方正小标宋_GBK" w:cs="方正小标宋_GBK"/>
          <w:b w:val="0"/>
          <w:i w:val="0"/>
          <w:caps w:val="0"/>
          <w:color w:val="3A3836"/>
          <w:spacing w:val="0"/>
          <w:kern w:val="0"/>
          <w:sz w:val="48"/>
          <w:szCs w:val="48"/>
          <w:shd w:val="clear" w:fill="FFFFFF"/>
          <w:lang w:val="en-US" w:eastAsia="zh-CN" w:bidi="ar"/>
        </w:rPr>
        <w:t>2019</w:t>
      </w:r>
      <w:r>
        <w:rPr>
          <w:rFonts w:hint="eastAsia" w:ascii="宋体" w:hAnsi="宋体" w:eastAsia="宋体" w:cs="宋体"/>
          <w:b w:val="0"/>
          <w:i w:val="0"/>
          <w:caps w:val="0"/>
          <w:color w:val="3A3836"/>
          <w:spacing w:val="0"/>
          <w:kern w:val="0"/>
          <w:sz w:val="48"/>
          <w:szCs w:val="48"/>
          <w:shd w:val="clear" w:fill="FFFFFF"/>
          <w:lang w:val="en-US" w:eastAsia="zh-CN" w:bidi="ar"/>
        </w:rPr>
        <w:t>年度部门决算公开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第一部分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第二部分  复兴区人民检察院2019年度部门决算报表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五、一般公共预算财政拨款收入支出决算表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六、一般公共预算财政拨款基本支出决算经济分类表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七、一般公共预算财政拨款“三公”经费支出决算表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八、政府性基金财政拨款基本支出决算表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九、国有资本经营预算财政拨款收入支出决算表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第三部分  复兴区人民检察院2019年部门决算情况说明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一、收入支出决算总体情况说明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二、收入决算情况说明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三、支出决算情况说明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四、财政拨款收入支出决算总体情况说明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五、“三公”经费支出决算情况说明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六、预算绩效管理工作开展情况说明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七、其他重要事项的说明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1、机关运行经费的情况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2、国有资产占用情况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eastAsia" w:ascii="宋体" w:hAnsi="宋体" w:eastAsia="宋体" w:cs="宋体"/>
          <w:b w:val="0"/>
          <w:i w:val="0"/>
          <w:caps w:val="0"/>
          <w:color w:val="3A3836"/>
          <w:spacing w:val="0"/>
          <w:sz w:val="18"/>
          <w:szCs w:val="18"/>
        </w:rPr>
      </w:pPr>
      <w:r>
        <w:rPr>
          <w:rFonts w:hint="eastAsia" w:ascii="宋体" w:hAnsi="宋体" w:eastAsia="宋体" w:cs="宋体"/>
          <w:b w:val="0"/>
          <w:i w:val="0"/>
          <w:caps w:val="0"/>
          <w:color w:val="3A3836"/>
          <w:spacing w:val="0"/>
          <w:kern w:val="0"/>
          <w:sz w:val="30"/>
          <w:szCs w:val="30"/>
          <w:shd w:val="clear" w:fill="FFFFFF"/>
          <w:lang w:val="en-US" w:eastAsia="zh-CN" w:bidi="ar"/>
        </w:rPr>
        <w:t>3、其他需要说明的情况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3A3836"/>
          <w:spacing w:val="0"/>
          <w:sz w:val="18"/>
          <w:szCs w:val="18"/>
        </w:rPr>
      </w:pPr>
      <w:r>
        <w:rPr>
          <w:rFonts w:hint="eastAsia" w:ascii="宋体" w:hAnsi="宋体" w:eastAsia="宋体" w:cs="宋体"/>
          <w:b/>
          <w:i w:val="0"/>
          <w:caps w:val="0"/>
          <w:color w:val="3A3836"/>
          <w:spacing w:val="0"/>
          <w:kern w:val="0"/>
          <w:sz w:val="30"/>
          <w:szCs w:val="30"/>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方正小标宋_GBK" w:hAnsi="方正小标宋_GBK" w:eastAsia="方正小标宋_GBK" w:cs="方正小标宋_GBK"/>
          <w:b w:val="0"/>
          <w:i w:val="0"/>
          <w:caps w:val="0"/>
          <w:color w:val="3A3836"/>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default" w:ascii="Calibri" w:hAnsi="Calibri" w:cs="Calibri"/>
          <w:b w:val="0"/>
          <w:i w:val="0"/>
          <w:caps w:val="0"/>
          <w:color w:val="3A3836"/>
          <w:spacing w:val="0"/>
          <w:sz w:val="21"/>
          <w:szCs w:val="21"/>
        </w:rPr>
      </w:pP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第一部分 部门概况</w:t>
      </w:r>
      <w:r>
        <w:rPr>
          <w:rFonts w:hint="eastAsia" w:ascii="宋体" w:hAnsi="宋体" w:eastAsia="宋体" w:cs="宋体"/>
          <w:b w:val="0"/>
          <w:i w:val="0"/>
          <w:caps w:val="0"/>
          <w:color w:val="3A3836"/>
          <w:spacing w:val="0"/>
          <w:kern w:val="0"/>
          <w:sz w:val="18"/>
          <w:szCs w:val="1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720" w:firstLineChars="0"/>
        <w:jc w:val="left"/>
        <w:textAlignment w:val="auto"/>
        <w:outlineLvl w:val="9"/>
        <w:rPr>
          <w:rFonts w:hint="eastAsia" w:asciiTheme="majorEastAsia" w:hAnsiTheme="majorEastAsia" w:eastAsiaTheme="majorEastAsia" w:cstheme="majorEastAsia"/>
          <w:b w:val="0"/>
          <w:i w:val="0"/>
          <w:caps w:val="0"/>
          <w:color w:val="3A3836"/>
          <w:spacing w:val="0"/>
          <w:sz w:val="32"/>
          <w:szCs w:val="32"/>
        </w:rPr>
      </w:pPr>
      <w:r>
        <w:rPr>
          <w:rFonts w:hint="eastAsia" w:asciiTheme="majorEastAsia" w:hAnsiTheme="majorEastAsia" w:eastAsiaTheme="majorEastAsia" w:cstheme="majorEastAsia"/>
          <w:b w:val="0"/>
          <w:i w:val="0"/>
          <w:caps w:val="0"/>
          <w:color w:val="3A3836"/>
          <w:spacing w:val="0"/>
          <w:kern w:val="0"/>
          <w:sz w:val="32"/>
          <w:szCs w:val="32"/>
          <w:shd w:val="clear" w:fill="FFFFFF"/>
          <w:lang w:val="en-US" w:eastAsia="zh-CN" w:bidi="ar"/>
        </w:rPr>
        <w:t>一、部门职责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bookmarkStart w:id="0" w:name="OLE_LINK1"/>
      <w:bookmarkEnd w:id="0"/>
      <w:r>
        <w:rPr>
          <w:rFonts w:hint="eastAsia" w:ascii="宋体" w:hAnsi="宋体" w:eastAsia="宋体" w:cs="宋体"/>
          <w:b w:val="0"/>
          <w:i w:val="0"/>
          <w:caps w:val="0"/>
          <w:color w:val="3A3836"/>
          <w:spacing w:val="0"/>
          <w:kern w:val="0"/>
          <w:sz w:val="30"/>
          <w:szCs w:val="30"/>
          <w:shd w:val="clear" w:fill="FFFFFF"/>
          <w:lang w:val="en-US" w:eastAsia="zh-CN" w:bidi="ar"/>
        </w:rPr>
        <w:t>复兴区检察院是国家法律监督机关的组成部分，其主要职责是：一、对区人大及常委会和市人民检察院负责并报告工作，接受监督；二、对刑事案件依法审查批捕，提起公诉；三、对区法院民事、经济审判和行政诉讼实行法律监督；四、对错判的提出建议、依法提起抗诉；五、受理控告、申诉和检举，办理刑事赔偿事项；六、对职务犯罪预防工作进行研究，并提出对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720" w:firstLineChars="0"/>
        <w:jc w:val="left"/>
        <w:textAlignment w:val="auto"/>
        <w:outlineLvl w:val="9"/>
        <w:rPr>
          <w:rFonts w:hint="default" w:asciiTheme="majorEastAsia" w:hAnsiTheme="majorEastAsia" w:eastAsiaTheme="majorEastAsia" w:cstheme="majorEastAsia"/>
          <w:b w:val="0"/>
          <w:i w:val="0"/>
          <w:caps w:val="0"/>
          <w:color w:val="3A3836"/>
          <w:spacing w:val="0"/>
          <w:kern w:val="0"/>
          <w:sz w:val="32"/>
          <w:szCs w:val="32"/>
          <w:shd w:val="clear" w:fill="FFFFFF"/>
          <w:lang w:val="en-US" w:eastAsia="zh-CN" w:bidi="ar"/>
        </w:rPr>
      </w:pPr>
      <w:r>
        <w:rPr>
          <w:rFonts w:hint="default" w:asciiTheme="majorEastAsia" w:hAnsiTheme="majorEastAsia" w:eastAsiaTheme="majorEastAsia" w:cstheme="majorEastAsia"/>
          <w:b w:val="0"/>
          <w:i w:val="0"/>
          <w:caps w:val="0"/>
          <w:color w:val="3A3836"/>
          <w:spacing w:val="0"/>
          <w:kern w:val="0"/>
          <w:sz w:val="32"/>
          <w:szCs w:val="32"/>
          <w:shd w:val="clear" w:fill="FFFFFF"/>
          <w:lang w:val="en-US" w:eastAsia="zh-CN" w:bidi="ar"/>
        </w:rPr>
        <w:t>二、</w:t>
      </w:r>
      <w:r>
        <w:rPr>
          <w:rFonts w:hint="eastAsia" w:asciiTheme="majorEastAsia" w:hAnsiTheme="majorEastAsia" w:eastAsiaTheme="majorEastAsia" w:cstheme="majorEastAsia"/>
          <w:b w:val="0"/>
          <w:i w:val="0"/>
          <w:caps w:val="0"/>
          <w:color w:val="3A3836"/>
          <w:spacing w:val="0"/>
          <w:kern w:val="0"/>
          <w:sz w:val="32"/>
          <w:szCs w:val="32"/>
          <w:shd w:val="clear" w:fill="FFFFFF"/>
          <w:lang w:val="en-US" w:eastAsia="zh-CN" w:bidi="ar"/>
        </w:rPr>
        <w:t>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复兴区人民检察院下设8个内部机构，其中包括第一检察部、第二检察部、第三检察部、第四检察部、第五检察部、综合业务部、办公室和政治部。下属1个事业单位后勤保障中心，规格为股级，全民事业单位。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eastAsia" w:ascii="宋体" w:hAnsi="宋体" w:eastAsia="宋体" w:cs="宋体"/>
          <w:b w:val="0"/>
          <w:i w:val="0"/>
          <w:caps w:val="0"/>
          <w:color w:val="3A3836"/>
          <w:spacing w:val="0"/>
          <w:kern w:val="0"/>
          <w:sz w:val="36"/>
          <w:szCs w:val="36"/>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default" w:ascii="宋体" w:hAnsi="宋体" w:eastAsia="宋体" w:cs="宋体"/>
          <w:b w:val="0"/>
          <w:i w:val="0"/>
          <w:caps w:val="0"/>
          <w:color w:val="3A3836"/>
          <w:spacing w:val="0"/>
          <w:kern w:val="0"/>
          <w:sz w:val="36"/>
          <w:szCs w:val="36"/>
          <w:shd w:val="clear" w:fill="FFFFFF"/>
          <w:lang w:val="en-US" w:eastAsia="zh-CN" w:bidi="ar"/>
        </w:rPr>
      </w:pP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第</w:t>
      </w:r>
      <w:r>
        <w:rPr>
          <w:rFonts w:hint="eastAsia" w:asciiTheme="minorEastAsia" w:hAnsiTheme="minorEastAsia" w:cstheme="minorEastAsia"/>
          <w:b/>
          <w:bCs/>
          <w:i w:val="0"/>
          <w:caps w:val="0"/>
          <w:color w:val="3A3836"/>
          <w:spacing w:val="0"/>
          <w:kern w:val="0"/>
          <w:sz w:val="32"/>
          <w:szCs w:val="32"/>
          <w:shd w:val="clear" w:fill="FFFFFF"/>
          <w:lang w:val="en-US" w:eastAsia="zh-CN" w:bidi="ar"/>
        </w:rPr>
        <w:t>二</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部分</w:t>
      </w:r>
      <w:r>
        <w:rPr>
          <w:rFonts w:hint="eastAsia" w:asciiTheme="minorEastAsia" w:hAnsiTheme="minorEastAsia" w:cstheme="minorEastAsia"/>
          <w:b/>
          <w:bCs/>
          <w:i w:val="0"/>
          <w:caps w:val="0"/>
          <w:color w:val="3A3836"/>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决算</w:t>
      </w:r>
      <w:r>
        <w:rPr>
          <w:rFonts w:hint="default" w:asciiTheme="minorEastAsia" w:hAnsiTheme="minorEastAsia" w:eastAsiaTheme="minorEastAsia" w:cstheme="minorEastAsia"/>
          <w:b/>
          <w:bCs/>
          <w:i w:val="0"/>
          <w:caps w:val="0"/>
          <w:color w:val="3A3836"/>
          <w:spacing w:val="0"/>
          <w:kern w:val="0"/>
          <w:sz w:val="32"/>
          <w:szCs w:val="32"/>
          <w:shd w:val="clear" w:fill="FFFFFF"/>
          <w:lang w:val="en-US" w:eastAsia="zh-CN" w:bidi="ar"/>
        </w:rPr>
        <w:t>单位</w:t>
      </w:r>
      <w:r>
        <w:rPr>
          <w:rFonts w:hint="eastAsia" w:asciiTheme="minorEastAsia" w:hAnsiTheme="minorEastAsia" w:cstheme="minorEastAsia"/>
          <w:b/>
          <w:bCs/>
          <w:i w:val="0"/>
          <w:caps w:val="0"/>
          <w:color w:val="3A3836"/>
          <w:spacing w:val="0"/>
          <w:kern w:val="0"/>
          <w:sz w:val="32"/>
          <w:szCs w:val="32"/>
          <w:shd w:val="clear" w:fill="FFFFFF"/>
          <w:lang w:val="en-US" w:eastAsia="zh-CN" w:bidi="ar"/>
        </w:rPr>
        <w:t>2019</w:t>
      </w:r>
      <w:r>
        <w:rPr>
          <w:rFonts w:hint="eastAsia" w:asciiTheme="minorEastAsia" w:hAnsiTheme="minorEastAsia" w:eastAsiaTheme="minorEastAsia" w:cstheme="minorEastAsia"/>
          <w:b/>
          <w:bCs/>
          <w:i w:val="0"/>
          <w:caps w:val="0"/>
          <w:color w:val="3A3836"/>
          <w:spacing w:val="0"/>
          <w:kern w:val="0"/>
          <w:sz w:val="32"/>
          <w:szCs w:val="32"/>
          <w:shd w:val="clear" w:fill="FFFFFF"/>
          <w:lang w:val="en-US" w:eastAsia="zh-CN" w:bidi="ar"/>
        </w:rPr>
        <w:t>年度部门决算报表（表见附件）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一、收入支出决算总表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二、收入决算表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三、支出决算表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四、财政拨款收入支出决算总表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五、一般公共预算财政拨款支出决算表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六、一般公共预算财政拨款基本支出决算经济分类表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七、政府性基金预算财政拨款收入支出决算表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国有资本经营预算财政拨款收入支出决算表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九、“三公”经费等相关信息统计表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 xml:space="preserve">十、政府采购情况表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jc w:val="both"/>
        <w:textAlignment w:val="auto"/>
        <w:outlineLvl w:val="9"/>
        <w:rPr>
          <w:rFonts w:hint="eastAsia" w:ascii="宋体" w:hAnsi="宋体" w:eastAsia="宋体" w:cs="宋体"/>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420" w:rightChars="200"/>
        <w:jc w:val="both"/>
        <w:textAlignment w:val="auto"/>
        <w:outlineLvl w:val="9"/>
        <w:rPr>
          <w:rFonts w:hint="eastAsia" w:ascii="宋体" w:hAnsi="宋体" w:eastAsia="宋体" w:cs="宋体"/>
          <w:b/>
          <w:bCs/>
          <w:i w:val="0"/>
          <w:caps w:val="0"/>
          <w:color w:val="3A3836"/>
          <w:spacing w:val="0"/>
          <w:kern w:val="0"/>
          <w:sz w:val="32"/>
          <w:szCs w:val="32"/>
          <w:shd w:val="clear" w:fill="FFFFFF"/>
          <w:lang w:val="en-US" w:eastAsia="zh-CN" w:bidi="ar"/>
        </w:rPr>
      </w:pPr>
      <w:r>
        <w:rPr>
          <w:rFonts w:hint="eastAsia" w:ascii="宋体" w:hAnsi="宋体" w:eastAsia="宋体" w:cs="宋体"/>
          <w:b/>
          <w:bCs/>
          <w:i w:val="0"/>
          <w:caps w:val="0"/>
          <w:color w:val="3A3836"/>
          <w:spacing w:val="0"/>
          <w:kern w:val="0"/>
          <w:sz w:val="32"/>
          <w:szCs w:val="32"/>
          <w:shd w:val="clear" w:fill="FFFFFF"/>
          <w:lang w:val="en-US" w:eastAsia="zh-CN" w:bidi="ar"/>
        </w:rPr>
        <w:t>第三部分 决算单位2019年部门决算情况说明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一、收入支出决算总体情况说明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年度上年结转和结余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518.33</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万元，本年收入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2201.59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万元，本年支出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2141.87</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万元，年末结转和结余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578.05</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年度事业基金弥补收支差额0万元，结余分配0万元，年末结转和结余0万元。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年度一般公共预算财政拨款年初结转和结余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518.33</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万元，本年收入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2191.48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万元，本年支出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2141.87</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万元，年末结转和结余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567.94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年度政府性基金预算财政拨款年初结转和结余0万元，本年收入0万元，本年支出0万元，年末结转和结余0万元。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年三公经费支出决算数是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14.24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年决算数是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11.82</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w:t>
      </w:r>
      <w:r>
        <w:rPr>
          <w:rFonts w:hint="eastAsia" w:asciiTheme="minorEastAsia" w:hAnsiTheme="minorEastAsia" w:cstheme="minorEastAsia"/>
          <w:b w:val="0"/>
          <w:i w:val="0"/>
          <w:caps w:val="0"/>
          <w:color w:val="3A3836"/>
          <w:spacing w:val="0"/>
          <w:kern w:val="0"/>
          <w:sz w:val="30"/>
          <w:szCs w:val="30"/>
          <w:shd w:val="clear" w:fill="FFFFFF"/>
          <w:lang w:val="en-US" w:eastAsia="zh-CN" w:bidi="ar"/>
        </w:rPr>
        <w:t>增加2.42</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年度缴入财政专户</w:t>
      </w:r>
      <w:r>
        <w:rPr>
          <w:rFonts w:hint="eastAsia" w:asciiTheme="minorEastAsia" w:hAnsiTheme="minorEastAsia" w:cstheme="minorEastAsia"/>
          <w:b w:val="0"/>
          <w:i w:val="0"/>
          <w:caps w:val="0"/>
          <w:color w:val="3A3836"/>
          <w:spacing w:val="0"/>
          <w:kern w:val="0"/>
          <w:sz w:val="30"/>
          <w:szCs w:val="30"/>
          <w:shd w:val="clear" w:fill="FFFFFF"/>
          <w:lang w:val="en-US" w:eastAsia="zh-CN" w:bidi="ar"/>
        </w:rPr>
        <w:t>0</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万元，收到财政专户核拨收入0万元。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二、收入决算情况说明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2201.59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万元，其中财政拨款收入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2191.48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万元，无上级补助收入、无事业收入、无经营收入、无附属单位上缴收入、其他收入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10.11万元</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年决算收入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1954.79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年收入比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246.8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万元。收入增加的主要原因是随着办案业务量增加，办案业务收入增加。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2019年预算收入1426.57元，2019年决算收入比预算多775.02万元，主要原因是司改实施经费增加、人员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以及人员正常工资调整。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三、支出决算情况说明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 xml:space="preserve"> 我部门</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2141.87</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万元，其中行政运行</w:t>
      </w:r>
      <w:r>
        <w:rPr>
          <w:rFonts w:hint="eastAsia" w:asciiTheme="minorEastAsia" w:hAnsiTheme="minorEastAsia" w:cstheme="minorEastAsia"/>
          <w:b w:val="0"/>
          <w:i w:val="0"/>
          <w:caps w:val="0"/>
          <w:color w:val="3A3836"/>
          <w:spacing w:val="0"/>
          <w:kern w:val="0"/>
          <w:sz w:val="30"/>
          <w:szCs w:val="30"/>
          <w:shd w:val="clear" w:fill="FFFFFF"/>
          <w:lang w:val="en-US" w:eastAsia="zh-CN" w:bidi="ar"/>
        </w:rPr>
        <w:t>1179.23</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万元，一般行政管理事务</w:t>
      </w:r>
      <w:r>
        <w:rPr>
          <w:rFonts w:hint="eastAsia" w:asciiTheme="minorEastAsia" w:hAnsiTheme="minorEastAsia" w:cstheme="minorEastAsia"/>
          <w:b w:val="0"/>
          <w:i w:val="0"/>
          <w:caps w:val="0"/>
          <w:color w:val="3A3836"/>
          <w:spacing w:val="0"/>
          <w:kern w:val="0"/>
          <w:sz w:val="30"/>
          <w:szCs w:val="30"/>
          <w:shd w:val="clear" w:fill="FFFFFF"/>
          <w:lang w:val="en-US" w:eastAsia="zh-CN" w:bidi="ar"/>
        </w:rPr>
        <w:t>100</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两房建设373.35</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检察监督324.73万元，</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社会保障和就业支出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101.95</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万元，住房保障支出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62.61</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1884.66</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年支出比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257.21</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万元。支出增加的主要原因是随着办案业务量增加，办案业务支出增加。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2019年预算支出1426.57元，决算比预算支出多715.3万元，主要原因是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和人员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支出</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四、财政拨款收入支出决算总体情况说明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年度财政拨款上年结转和结余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518.33</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万元，财政拨款收入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2191.48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万元，财政拨款支出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2141.87</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万元，年末结转和结余</w:t>
      </w:r>
      <w:r>
        <w:rPr>
          <w:rFonts w:hint="eastAsia" w:asciiTheme="minorEastAsia" w:hAnsiTheme="minorEastAsia" w:cstheme="minorEastAsia"/>
          <w:b w:val="0"/>
          <w:i w:val="0"/>
          <w:caps w:val="0"/>
          <w:color w:val="3A3836"/>
          <w:spacing w:val="0"/>
          <w:kern w:val="0"/>
          <w:sz w:val="30"/>
          <w:szCs w:val="30"/>
          <w:shd w:val="clear" w:fill="FFFFFF"/>
          <w:lang w:val="en-US" w:eastAsia="zh-CN" w:bidi="ar"/>
        </w:rPr>
        <w:t>567.94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年财政拨款收入</w:t>
      </w:r>
      <w:r>
        <w:rPr>
          <w:rFonts w:hint="eastAsia" w:asciiTheme="minorEastAsia" w:hAnsiTheme="minorEastAsia" w:cstheme="minorEastAsia"/>
          <w:b w:val="0"/>
          <w:i w:val="0"/>
          <w:caps w:val="0"/>
          <w:color w:val="3A3836"/>
          <w:spacing w:val="0"/>
          <w:kern w:val="0"/>
          <w:sz w:val="30"/>
          <w:szCs w:val="30"/>
          <w:shd w:val="clear" w:fill="FFFFFF"/>
          <w:lang w:val="en-US" w:eastAsia="zh-CN" w:bidi="ar"/>
        </w:rPr>
        <w:t>1954.79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年收入比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236.69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万元。收入增加的主要原因是随着办案业务量增加，办案业务收入增加。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2019年预算收入1426.57元，2019年决算收入比预算多764.91万元，主要原因是司改实施经费增加、人员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工资收入增加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以及人员正常工资调整。2018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1884.66</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年支出比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257.21</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万元。支出增加的主要原因是随着办案业务量增加，办案业务支出增加。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2019年预算支出1426.57元，决算比预算支出多715.3万元，主要原因是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办案业务支出增加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和人员</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工资</w:t>
      </w:r>
      <w:r>
        <w:rPr>
          <w:rFonts w:hint="eastAsia" w:asciiTheme="minorEastAsia" w:hAnsiTheme="minorEastAsia" w:cstheme="minorEastAsia"/>
          <w:b w:val="0"/>
          <w:i w:val="0"/>
          <w:caps w:val="0"/>
          <w:color w:val="3A3836"/>
          <w:spacing w:val="0"/>
          <w:kern w:val="0"/>
          <w:sz w:val="30"/>
          <w:szCs w:val="30"/>
          <w:shd w:val="clear" w:fill="FFFFFF"/>
          <w:lang w:val="en-US" w:eastAsia="zh-CN" w:bidi="ar"/>
        </w:rPr>
        <w:t>支出</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增加</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五、“三公经费”支出决算情况说明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我部门“三公经费”支出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年决算数是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14.24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主要是</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公务用车运行费</w:t>
      </w:r>
      <w:r>
        <w:rPr>
          <w:rFonts w:hint="eastAsia" w:asciiTheme="minorEastAsia" w:hAnsiTheme="minorEastAsia" w:cstheme="minorEastAsia"/>
          <w:b w:val="0"/>
          <w:i w:val="0"/>
          <w:caps w:val="0"/>
          <w:color w:val="3A3836"/>
          <w:spacing w:val="0"/>
          <w:kern w:val="0"/>
          <w:sz w:val="30"/>
          <w:szCs w:val="30"/>
          <w:shd w:val="clear" w:fill="FFFFFF"/>
          <w:lang w:val="en-US" w:eastAsia="zh-CN" w:bidi="ar"/>
        </w:rPr>
        <w:t>14.24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年三公经费支出决算数是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11.82</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2019年</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比</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w:t>
      </w:r>
      <w:r>
        <w:rPr>
          <w:rFonts w:hint="eastAsia" w:asciiTheme="minorEastAsia" w:hAnsiTheme="minorEastAsia" w:cstheme="minorEastAsia"/>
          <w:b w:val="0"/>
          <w:i w:val="0"/>
          <w:caps w:val="0"/>
          <w:color w:val="3A3836"/>
          <w:spacing w:val="0"/>
          <w:kern w:val="0"/>
          <w:sz w:val="30"/>
          <w:szCs w:val="30"/>
          <w:shd w:val="clear" w:fill="FFFFFF"/>
          <w:lang w:val="en-US" w:eastAsia="zh-CN" w:bidi="ar"/>
        </w:rPr>
        <w:t>增加2.42</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万元。原因是</w:t>
      </w:r>
      <w:r>
        <w:rPr>
          <w:rFonts w:hint="eastAsia" w:asciiTheme="minorEastAsia" w:hAnsiTheme="minorEastAsia" w:cstheme="minorEastAsia"/>
          <w:b w:val="0"/>
          <w:i w:val="0"/>
          <w:caps w:val="0"/>
          <w:color w:val="3A3836"/>
          <w:spacing w:val="0"/>
          <w:kern w:val="0"/>
          <w:sz w:val="30"/>
          <w:szCs w:val="30"/>
          <w:shd w:val="clear" w:fill="FFFFFF"/>
          <w:lang w:val="en-US" w:eastAsia="zh-CN" w:bidi="ar"/>
        </w:rPr>
        <w:t>司法机构改革后，</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我单位</w:t>
      </w:r>
      <w:r>
        <w:rPr>
          <w:rFonts w:hint="eastAsia" w:asciiTheme="minorEastAsia" w:hAnsiTheme="minorEastAsia" w:cstheme="minorEastAsia"/>
          <w:b w:val="0"/>
          <w:i w:val="0"/>
          <w:caps w:val="0"/>
          <w:color w:val="3A3836"/>
          <w:spacing w:val="0"/>
          <w:kern w:val="0"/>
          <w:sz w:val="30"/>
          <w:szCs w:val="30"/>
          <w:shd w:val="clear" w:fill="FFFFFF"/>
          <w:lang w:val="en-US" w:eastAsia="zh-CN" w:bidi="ar"/>
        </w:rPr>
        <w:t>积极发挥检察职能，</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办案业务量增加，公务用车支出增加。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其中：1、公务用车购置费为零</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公务用车运行费</w:t>
      </w:r>
      <w:r>
        <w:rPr>
          <w:rFonts w:hint="eastAsia" w:asciiTheme="minorEastAsia" w:hAnsiTheme="minorEastAsia" w:cstheme="minorEastAsia"/>
          <w:b w:val="0"/>
          <w:i w:val="0"/>
          <w:caps w:val="0"/>
          <w:color w:val="3A3836"/>
          <w:spacing w:val="0"/>
          <w:kern w:val="0"/>
          <w:sz w:val="30"/>
          <w:szCs w:val="30"/>
          <w:shd w:val="clear" w:fill="FFFFFF"/>
          <w:lang w:val="en-US" w:eastAsia="zh-CN" w:bidi="ar"/>
        </w:rPr>
        <w:t>14.24</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万元。2、因公出国（境）费为零。与</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年度决算数一致，主要是因为我院</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年度未进行此项费用安排。3、公务接待费为零</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与</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2018</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年度决算数一致，主要是因为我院</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年度未进行此项费用安排。</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年度本部门使用公共预算财政拨款支出的国内公务接待0批次，0次；因公出国组团人数及组团数为零。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Chars="200" w:right="0" w:rightChars="0" w:firstLine="320" w:firstLineChars="1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六、预算绩效管理工作开展情况说明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年度按照建立全面规范、公开透明的政府预算管理制度要求，我院形成了“预算编制有目标、预算执行有监控、预算完成有评价、评价结果有应用、 绩效缺失有问责” 的全过程绩效预算管理机制，我院预算支出管理较为规范，能按照有关规章制度开展工作。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年度检察监督，其中公诉和审判监督的公诉案件有罪判决率、公诉抗诉案件再审改变率、出庭意见采纳率、公诉案件结案率等均达到</w:t>
      </w:r>
      <w:r>
        <w:rPr>
          <w:rFonts w:hint="eastAsia" w:asciiTheme="minorEastAsia" w:hAnsiTheme="minorEastAsia" w:cstheme="minorEastAsia"/>
          <w:b w:val="0"/>
          <w:i w:val="0"/>
          <w:caps w:val="0"/>
          <w:color w:val="3A3836"/>
          <w:spacing w:val="0"/>
          <w:kern w:val="0"/>
          <w:sz w:val="30"/>
          <w:szCs w:val="30"/>
          <w:shd w:val="clear" w:fill="FFFFFF"/>
          <w:lang w:val="en-US" w:eastAsia="zh-CN" w:bidi="ar"/>
        </w:rPr>
        <w:t>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0%，评价标准为“优”。司法辅助:加强各项检察辅助职能，为检务提供有力保障，出警及时率达到100%。刑事执行监督:保障刑罚执行和刑事执行活动依法有序执行，被执行人及相关当事人对监督行为和效果满意度达到95%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年检察综合事务管理中，技术科远程庭审系统及政法共享协同平台调试准确率达到100%；办公室收发传真文件，签收机要文件及时率达到100%；计财装备科做好</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年经费保障工作，经费拨付与支出，工资发放准确率达到100%；政治处做好“两微一端”及门户网站信息维护工作，其中，微信发布信息、微博发布信息、门户网站发布信息</w:t>
      </w:r>
      <w:r>
        <w:rPr>
          <w:rFonts w:hint="eastAsia" w:asciiTheme="minorEastAsia" w:hAnsiTheme="minorEastAsia" w:cstheme="minorEastAsia"/>
          <w:b w:val="0"/>
          <w:i w:val="0"/>
          <w:caps w:val="0"/>
          <w:color w:val="3A3836"/>
          <w:spacing w:val="0"/>
          <w:kern w:val="0"/>
          <w:sz w:val="30"/>
          <w:szCs w:val="30"/>
          <w:shd w:val="clear" w:fill="FFFFFF"/>
          <w:lang w:val="en-US" w:eastAsia="zh-CN" w:bidi="ar"/>
        </w:rPr>
        <w:t>30</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条以上。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40" w:firstLineChars="200"/>
        <w:jc w:val="both"/>
        <w:textAlignment w:val="auto"/>
        <w:outlineLvl w:val="9"/>
        <w:rPr>
          <w:rFonts w:hint="eastAsia" w:ascii="宋体" w:hAnsi="宋体" w:eastAsia="宋体" w:cs="宋体"/>
          <w:b w:val="0"/>
          <w:i w:val="0"/>
          <w:caps w:val="0"/>
          <w:color w:val="3A3836"/>
          <w:spacing w:val="0"/>
          <w:kern w:val="0"/>
          <w:sz w:val="32"/>
          <w:szCs w:val="32"/>
          <w:shd w:val="clear" w:fill="FFFFFF"/>
          <w:lang w:val="en-US" w:eastAsia="zh-CN" w:bidi="ar"/>
        </w:rPr>
      </w:pPr>
      <w:r>
        <w:rPr>
          <w:rFonts w:hint="eastAsia" w:ascii="宋体" w:hAnsi="宋体" w:eastAsia="宋体" w:cs="宋体"/>
          <w:b w:val="0"/>
          <w:i w:val="0"/>
          <w:caps w:val="0"/>
          <w:color w:val="3A3836"/>
          <w:spacing w:val="0"/>
          <w:kern w:val="0"/>
          <w:sz w:val="32"/>
          <w:szCs w:val="32"/>
          <w:shd w:val="clear" w:fill="FFFFFF"/>
          <w:lang w:val="en-US" w:eastAsia="zh-CN" w:bidi="ar"/>
        </w:rPr>
        <w:t>七、其他重要事项的说明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1、机关运行经费情况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pP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本部门</w:t>
      </w:r>
      <w:r>
        <w:rPr>
          <w:rFonts w:hint="eastAsia" w:asciiTheme="minorEastAsia" w:hAnsiTheme="minorEastAsia" w:cstheme="minorEastAsia"/>
          <w:b w:val="0"/>
          <w:i w:val="0"/>
          <w:caps w:val="0"/>
          <w:color w:val="3A3836"/>
          <w:spacing w:val="0"/>
          <w:kern w:val="0"/>
          <w:sz w:val="30"/>
          <w:szCs w:val="30"/>
          <w:shd w:val="clear" w:fill="FFFFFF"/>
          <w:lang w:val="en-US" w:eastAsia="zh-CN" w:bidi="ar"/>
        </w:rPr>
        <w:t>2019</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年度机关运行经费支出</w:t>
      </w:r>
      <w:r>
        <w:rPr>
          <w:rFonts w:hint="eastAsia" w:asciiTheme="minorEastAsia" w:hAnsiTheme="minorEastAsia" w:cstheme="minorEastAsia"/>
          <w:b w:val="0"/>
          <w:i w:val="0"/>
          <w:caps w:val="0"/>
          <w:color w:val="3A3836"/>
          <w:spacing w:val="0"/>
          <w:kern w:val="0"/>
          <w:sz w:val="30"/>
          <w:szCs w:val="30"/>
          <w:shd w:val="clear" w:fill="FFFFFF"/>
          <w:lang w:val="en-US" w:eastAsia="zh-CN" w:bidi="ar"/>
        </w:rPr>
        <w:t>550.13</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万元，比上年</w:t>
      </w:r>
      <w:r>
        <w:rPr>
          <w:rFonts w:hint="eastAsia" w:asciiTheme="minorEastAsia" w:hAnsiTheme="minorEastAsia" w:cstheme="minorEastAsia"/>
          <w:b w:val="0"/>
          <w:i w:val="0"/>
          <w:caps w:val="0"/>
          <w:color w:val="3A3836"/>
          <w:spacing w:val="0"/>
          <w:kern w:val="0"/>
          <w:sz w:val="30"/>
          <w:szCs w:val="30"/>
          <w:shd w:val="clear" w:fill="FFFFFF"/>
          <w:lang w:val="en-US" w:eastAsia="zh-CN" w:bidi="ar"/>
        </w:rPr>
        <w:t>增加237.91</w:t>
      </w:r>
      <w:r>
        <w:rPr>
          <w:rFonts w:hint="eastAsia" w:asciiTheme="minorEastAsia" w:hAnsiTheme="minorEastAsia" w:eastAsiaTheme="minorEastAsia" w:cstheme="minorEastAsia"/>
          <w:b w:val="0"/>
          <w:i w:val="0"/>
          <w:caps w:val="0"/>
          <w:color w:val="3A3836"/>
          <w:spacing w:val="0"/>
          <w:kern w:val="0"/>
          <w:sz w:val="30"/>
          <w:szCs w:val="30"/>
          <w:shd w:val="clear" w:fill="FFFFFF"/>
          <w:lang w:val="en-US" w:eastAsia="zh-CN" w:bidi="ar"/>
        </w:rPr>
        <w:t>万元。主要原因是办案业务量增加，办案业务支出增加。</w:t>
      </w:r>
    </w:p>
    <w:p>
      <w:pPr>
        <w:pStyle w:val="4"/>
        <w:numPr>
          <w:ilvl w:val="0"/>
          <w:numId w:val="1"/>
        </w:numPr>
        <w:spacing w:line="480" w:lineRule="auto"/>
        <w:ind w:firstLine="600" w:firstLineChars="200"/>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国有资产占用情况</w:t>
      </w:r>
    </w:p>
    <w:p>
      <w:pPr>
        <w:pStyle w:val="4"/>
        <w:numPr>
          <w:numId w:val="0"/>
        </w:numPr>
        <w:spacing w:line="480" w:lineRule="auto"/>
        <w:ind w:firstLine="600" w:firstLineChars="200"/>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我单位2019年末固定资产</w:t>
      </w:r>
      <w:r>
        <w:rPr>
          <w:rFonts w:hint="eastAsia" w:cs="宋体"/>
          <w:b w:val="0"/>
          <w:i w:val="0"/>
          <w:caps w:val="0"/>
          <w:color w:val="3A3836"/>
          <w:spacing w:val="0"/>
          <w:kern w:val="0"/>
          <w:sz w:val="30"/>
          <w:szCs w:val="30"/>
          <w:shd w:val="clear" w:fill="FFFFFF"/>
          <w:lang w:val="en-US" w:eastAsia="zh-CN" w:bidi="ar"/>
        </w:rPr>
        <w:t>原</w:t>
      </w:r>
      <w:r>
        <w:rPr>
          <w:rFonts w:hint="eastAsia" w:ascii="宋体" w:hAnsi="宋体" w:eastAsia="宋体" w:cs="宋体"/>
          <w:b w:val="0"/>
          <w:i w:val="0"/>
          <w:caps w:val="0"/>
          <w:color w:val="3A3836"/>
          <w:spacing w:val="0"/>
          <w:kern w:val="0"/>
          <w:sz w:val="30"/>
          <w:szCs w:val="30"/>
          <w:shd w:val="clear" w:fill="FFFFFF"/>
          <w:lang w:val="en-US" w:eastAsia="zh-CN" w:bidi="ar"/>
        </w:rPr>
        <w:t>值856.22</w:t>
      </w:r>
      <w:r>
        <w:rPr>
          <w:rFonts w:hint="eastAsia" w:cs="宋体"/>
          <w:b w:val="0"/>
          <w:i w:val="0"/>
          <w:caps w:val="0"/>
          <w:color w:val="3A3836"/>
          <w:spacing w:val="0"/>
          <w:kern w:val="0"/>
          <w:sz w:val="30"/>
          <w:szCs w:val="30"/>
          <w:shd w:val="clear" w:fill="FFFFFF"/>
          <w:lang w:val="en-US" w:eastAsia="zh-CN" w:bidi="ar"/>
        </w:rPr>
        <w:t>万元，净值为</w:t>
      </w:r>
      <w:r>
        <w:rPr>
          <w:rFonts w:hint="eastAsia" w:ascii="宋体" w:eastAsia="宋体" w:hAnsiTheme="minorEastAsia"/>
          <w:color w:val="000000"/>
          <w:sz w:val="27"/>
        </w:rPr>
        <w:t xml:space="preserve"> </w:t>
      </w:r>
      <w:r>
        <w:rPr>
          <w:rFonts w:hint="eastAsia" w:ascii="宋体" w:hAnsi="宋体" w:eastAsia="宋体" w:cs="宋体"/>
          <w:b w:val="0"/>
          <w:i w:val="0"/>
          <w:caps w:val="0"/>
          <w:color w:val="3A3836"/>
          <w:spacing w:val="0"/>
          <w:kern w:val="0"/>
          <w:sz w:val="30"/>
          <w:szCs w:val="30"/>
          <w:shd w:val="clear" w:fill="FFFFFF"/>
          <w:lang w:val="en-US" w:eastAsia="zh-CN" w:bidi="ar"/>
        </w:rPr>
        <w:t>444.93</w:t>
      </w:r>
      <w:r>
        <w:rPr>
          <w:rFonts w:hint="eastAsia" w:cs="宋体"/>
          <w:b w:val="0"/>
          <w:i w:val="0"/>
          <w:caps w:val="0"/>
          <w:color w:val="3A3836"/>
          <w:spacing w:val="0"/>
          <w:kern w:val="0"/>
          <w:sz w:val="30"/>
          <w:szCs w:val="30"/>
          <w:shd w:val="clear" w:fill="FFFFFF"/>
          <w:lang w:val="en-US" w:eastAsia="zh-CN" w:bidi="ar"/>
        </w:rPr>
        <w:t>万元。</w:t>
      </w:r>
      <w:r>
        <w:rPr>
          <w:rFonts w:hint="eastAsia" w:ascii="宋体" w:hAnsi="宋体" w:eastAsia="宋体" w:cs="宋体"/>
          <w:b w:val="0"/>
          <w:i w:val="0"/>
          <w:caps w:val="0"/>
          <w:color w:val="3A3836"/>
          <w:spacing w:val="0"/>
          <w:kern w:val="0"/>
          <w:sz w:val="30"/>
          <w:szCs w:val="30"/>
          <w:shd w:val="clear" w:fill="FFFFFF"/>
          <w:lang w:val="en-US" w:eastAsia="zh-CN" w:bidi="ar"/>
        </w:rPr>
        <w:t xml:space="preserve"> </w:t>
      </w:r>
      <w:r>
        <w:rPr>
          <w:rFonts w:hint="eastAsia" w:cs="宋体"/>
          <w:b w:val="0"/>
          <w:i w:val="0"/>
          <w:caps w:val="0"/>
          <w:color w:val="3A3836"/>
          <w:spacing w:val="0"/>
          <w:kern w:val="0"/>
          <w:sz w:val="30"/>
          <w:szCs w:val="30"/>
          <w:shd w:val="clear" w:fill="FFFFFF"/>
          <w:lang w:val="en-US" w:eastAsia="zh-CN" w:bidi="ar"/>
        </w:rPr>
        <w:t>2018年固定资产</w:t>
      </w:r>
      <w:r>
        <w:rPr>
          <w:rFonts w:hint="eastAsia" w:ascii="宋体" w:hAnsi="宋体" w:eastAsia="宋体" w:cs="宋体"/>
          <w:b w:val="0"/>
          <w:i w:val="0"/>
          <w:caps w:val="0"/>
          <w:color w:val="3A3836"/>
          <w:spacing w:val="0"/>
          <w:kern w:val="0"/>
          <w:sz w:val="30"/>
          <w:szCs w:val="30"/>
          <w:shd w:val="clear" w:fill="FFFFFF"/>
          <w:lang w:val="en-US" w:eastAsia="zh-CN" w:bidi="ar"/>
        </w:rPr>
        <w:t>635.3万元，比去年</w:t>
      </w:r>
      <w:r>
        <w:rPr>
          <w:rFonts w:hint="eastAsia" w:cs="宋体"/>
          <w:b w:val="0"/>
          <w:i w:val="0"/>
          <w:caps w:val="0"/>
          <w:color w:val="3A3836"/>
          <w:spacing w:val="0"/>
          <w:kern w:val="0"/>
          <w:sz w:val="30"/>
          <w:szCs w:val="30"/>
          <w:shd w:val="clear" w:fill="FFFFFF"/>
          <w:lang w:val="en-US" w:eastAsia="zh-CN" w:bidi="ar"/>
        </w:rPr>
        <w:t>减少190.37</w:t>
      </w:r>
      <w:r>
        <w:rPr>
          <w:rFonts w:hint="eastAsia" w:ascii="宋体" w:hAnsi="宋体" w:eastAsia="宋体" w:cs="宋体"/>
          <w:b w:val="0"/>
          <w:i w:val="0"/>
          <w:caps w:val="0"/>
          <w:color w:val="3A3836"/>
          <w:spacing w:val="0"/>
          <w:kern w:val="0"/>
          <w:sz w:val="30"/>
          <w:szCs w:val="30"/>
          <w:shd w:val="clear" w:fill="FFFFFF"/>
          <w:lang w:val="en-US" w:eastAsia="zh-CN" w:bidi="ar"/>
        </w:rPr>
        <w:t>万元，主要原因是</w:t>
      </w:r>
      <w:r>
        <w:rPr>
          <w:rFonts w:hint="eastAsia" w:cs="宋体"/>
          <w:b w:val="0"/>
          <w:i w:val="0"/>
          <w:caps w:val="0"/>
          <w:color w:val="3A3836"/>
          <w:spacing w:val="0"/>
          <w:kern w:val="0"/>
          <w:sz w:val="30"/>
          <w:szCs w:val="30"/>
          <w:shd w:val="clear" w:fill="FFFFFF"/>
          <w:lang w:val="en-US" w:eastAsia="zh-CN" w:bidi="ar"/>
        </w:rPr>
        <w:t>2019年固定资产开始计提折旧</w:t>
      </w:r>
      <w:r>
        <w:rPr>
          <w:rFonts w:hint="eastAsia" w:ascii="宋体" w:hAnsi="宋体" w:eastAsia="宋体" w:cs="宋体"/>
          <w:b w:val="0"/>
          <w:i w:val="0"/>
          <w:caps w:val="0"/>
          <w:color w:val="3A3836"/>
          <w:spacing w:val="0"/>
          <w:kern w:val="0"/>
          <w:sz w:val="30"/>
          <w:szCs w:val="30"/>
          <w:shd w:val="clear" w:fill="FFFFFF"/>
          <w:lang w:val="en-US" w:eastAsia="zh-CN" w:bidi="ar"/>
        </w:rPr>
        <w:t>。固定资产中土地、房屋及构筑物 27.33 万元</w:t>
      </w:r>
      <w:r>
        <w:rPr>
          <w:rFonts w:hint="eastAsia" w:cs="宋体"/>
          <w:b w:val="0"/>
          <w:i w:val="0"/>
          <w:caps w:val="0"/>
          <w:color w:val="3A3836"/>
          <w:spacing w:val="0"/>
          <w:kern w:val="0"/>
          <w:sz w:val="30"/>
          <w:szCs w:val="30"/>
          <w:shd w:val="clear" w:fill="FFFFFF"/>
          <w:lang w:val="en-US" w:eastAsia="zh-CN" w:bidi="ar"/>
        </w:rPr>
        <w:t>；</w:t>
      </w:r>
      <w:bookmarkStart w:id="1" w:name="_GoBack"/>
      <w:bookmarkEnd w:id="1"/>
      <w:r>
        <w:rPr>
          <w:rFonts w:hint="eastAsia" w:ascii="宋体" w:hAnsi="宋体" w:eastAsia="宋体" w:cs="宋体"/>
          <w:b w:val="0"/>
          <w:i w:val="0"/>
          <w:caps w:val="0"/>
          <w:color w:val="3A3836"/>
          <w:spacing w:val="0"/>
          <w:kern w:val="0"/>
          <w:sz w:val="30"/>
          <w:szCs w:val="30"/>
          <w:shd w:val="clear" w:fill="FFFFFF"/>
          <w:lang w:val="en-US" w:eastAsia="zh-CN" w:bidi="ar"/>
        </w:rPr>
        <w:t>通用设备389.42 万元，其中：汽车</w:t>
      </w:r>
      <w:r>
        <w:rPr>
          <w:rFonts w:hint="eastAsia" w:cs="宋体"/>
          <w:b w:val="0"/>
          <w:i w:val="0"/>
          <w:caps w:val="0"/>
          <w:color w:val="3A3836"/>
          <w:spacing w:val="0"/>
          <w:kern w:val="0"/>
          <w:sz w:val="30"/>
          <w:szCs w:val="30"/>
          <w:shd w:val="clear" w:fill="FFFFFF"/>
          <w:lang w:val="en-US" w:eastAsia="zh-CN" w:bidi="ar"/>
        </w:rPr>
        <w:t>净</w:t>
      </w:r>
      <w:r>
        <w:rPr>
          <w:rFonts w:hint="eastAsia" w:ascii="宋体" w:hAnsi="宋体" w:eastAsia="宋体" w:cs="宋体"/>
          <w:b w:val="0"/>
          <w:i w:val="0"/>
          <w:caps w:val="0"/>
          <w:color w:val="3A3836"/>
          <w:spacing w:val="0"/>
          <w:kern w:val="0"/>
          <w:sz w:val="30"/>
          <w:szCs w:val="30"/>
          <w:shd w:val="clear" w:fill="FFFFFF"/>
          <w:lang w:val="en-US" w:eastAsia="zh-CN" w:bidi="ar"/>
        </w:rPr>
        <w:t>值</w:t>
      </w:r>
      <w:r>
        <w:rPr>
          <w:rFonts w:hint="eastAsia" w:cs="宋体"/>
          <w:b w:val="0"/>
          <w:i w:val="0"/>
          <w:caps w:val="0"/>
          <w:color w:val="3A3836"/>
          <w:spacing w:val="0"/>
          <w:kern w:val="0"/>
          <w:sz w:val="30"/>
          <w:szCs w:val="30"/>
          <w:shd w:val="clear" w:fill="FFFFFF"/>
          <w:lang w:val="en-US" w:eastAsia="zh-CN" w:bidi="ar"/>
        </w:rPr>
        <w:t>7.19</w:t>
      </w:r>
      <w:r>
        <w:rPr>
          <w:rFonts w:hint="eastAsia" w:ascii="宋体" w:hAnsi="宋体" w:eastAsia="宋体" w:cs="宋体"/>
          <w:b w:val="0"/>
          <w:i w:val="0"/>
          <w:caps w:val="0"/>
          <w:color w:val="3A3836"/>
          <w:spacing w:val="0"/>
          <w:kern w:val="0"/>
          <w:sz w:val="30"/>
          <w:szCs w:val="30"/>
          <w:shd w:val="clear" w:fill="FFFFFF"/>
          <w:lang w:val="en-US" w:eastAsia="zh-CN" w:bidi="ar"/>
        </w:rPr>
        <w:t>万元；专用设备10.15 万元；家具用具等 18.02 万元。我单位</w:t>
      </w:r>
      <w:r>
        <w:rPr>
          <w:rFonts w:hint="eastAsia"/>
          <w:color w:val="3A3836"/>
          <w:sz w:val="30"/>
          <w:szCs w:val="30"/>
          <w:lang w:val="en-US" w:eastAsia="zh-CN"/>
        </w:rPr>
        <w:t>未购置新的公务用车，</w:t>
      </w:r>
      <w:r>
        <w:rPr>
          <w:rFonts w:hint="eastAsia" w:ascii="宋体" w:hAnsi="宋体" w:eastAsia="宋体" w:cs="宋体"/>
          <w:b w:val="0"/>
          <w:i w:val="0"/>
          <w:caps w:val="0"/>
          <w:color w:val="3A3836"/>
          <w:spacing w:val="0"/>
          <w:kern w:val="0"/>
          <w:sz w:val="30"/>
          <w:szCs w:val="30"/>
          <w:shd w:val="clear" w:fill="FFFFFF"/>
          <w:lang w:val="en-US" w:eastAsia="zh-CN" w:bidi="ar"/>
        </w:rPr>
        <w:t>现保有</w:t>
      </w:r>
      <w:r>
        <w:rPr>
          <w:rFonts w:hint="eastAsia"/>
          <w:color w:val="3A3836"/>
          <w:sz w:val="30"/>
          <w:szCs w:val="30"/>
          <w:lang w:val="en-US" w:eastAsia="zh-CN"/>
        </w:rPr>
        <w:t>公务用车12</w:t>
      </w:r>
      <w:r>
        <w:rPr>
          <w:rFonts w:hint="eastAsia" w:ascii="宋体" w:hAnsi="宋体" w:eastAsia="宋体" w:cs="宋体"/>
          <w:b w:val="0"/>
          <w:i w:val="0"/>
          <w:caps w:val="0"/>
          <w:color w:val="3A3836"/>
          <w:spacing w:val="0"/>
          <w:kern w:val="0"/>
          <w:sz w:val="30"/>
          <w:szCs w:val="30"/>
          <w:shd w:val="clear" w:fill="FFFFFF"/>
          <w:lang w:val="en-US" w:eastAsia="zh-CN" w:bidi="ar"/>
        </w:rPr>
        <w:t>辆</w:t>
      </w:r>
      <w:r>
        <w:rPr>
          <w:rFonts w:hint="eastAsia" w:asciiTheme="minorEastAsia" w:hAnsiTheme="minorEastAsia" w:cstheme="minorEastAsia"/>
          <w:b w:val="0"/>
          <w:i w:val="0"/>
          <w:caps w:val="0"/>
          <w:color w:val="3A3836"/>
          <w:spacing w:val="0"/>
          <w:kern w:val="0"/>
          <w:sz w:val="30"/>
          <w:szCs w:val="30"/>
          <w:shd w:val="clear" w:fill="FFFFFF"/>
          <w:lang w:val="en-US" w:eastAsia="zh-CN" w:bidi="ar"/>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空表说明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right="0" w:rightChars="0" w:firstLine="600" w:firstLineChars="200"/>
        <w:jc w:val="left"/>
        <w:textAlignment w:val="auto"/>
        <w:outlineLvl w:val="9"/>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政府性基金预算财政拨款收入支出决算表、国有资本经营预算财政拨款收入支出决算表是空表，因我单位不涉及。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Theme="majorEastAsia" w:hAnsiTheme="majorEastAsia" w:eastAsiaTheme="majorEastAsia" w:cstheme="majorEastAsia"/>
          <w:b/>
          <w:bCs/>
          <w:i w:val="0"/>
          <w:caps w:val="0"/>
          <w:color w:val="3A3836"/>
          <w:spacing w:val="0"/>
          <w:sz w:val="32"/>
          <w:szCs w:val="32"/>
        </w:rPr>
      </w:pPr>
      <w:r>
        <w:rPr>
          <w:rFonts w:hint="eastAsia" w:asciiTheme="majorEastAsia" w:hAnsiTheme="majorEastAsia" w:eastAsiaTheme="majorEastAsia" w:cstheme="majorEastAsia"/>
          <w:b/>
          <w:bCs/>
          <w:i w:val="0"/>
          <w:caps w:val="0"/>
          <w:color w:val="3A3836"/>
          <w:spacing w:val="0"/>
          <w:kern w:val="0"/>
          <w:sz w:val="32"/>
          <w:szCs w:val="32"/>
          <w:shd w:val="clear" w:fill="FFFFFF"/>
          <w:lang w:val="en-US" w:eastAsia="zh-CN" w:bidi="ar"/>
        </w:rPr>
        <w:t>第四部分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35" w:lineRule="atLeast"/>
        <w:ind w:left="0" w:leftChars="0" w:right="0" w:rightChars="0" w:firstLine="600" w:firstLineChars="200"/>
        <w:textAlignment w:val="auto"/>
        <w:outlineLvl w:val="9"/>
        <w:rPr>
          <w:rFonts w:hint="eastAsia" w:ascii="宋体" w:hAnsi="宋体" w:eastAsia="宋体" w:cs="宋体"/>
          <w:b w:val="0"/>
          <w:i w:val="0"/>
          <w:caps w:val="0"/>
          <w:color w:val="3A3836"/>
          <w:spacing w:val="0"/>
          <w:sz w:val="24"/>
          <w:szCs w:val="24"/>
        </w:rPr>
      </w:pPr>
      <w:r>
        <w:rPr>
          <w:rFonts w:hint="eastAsia" w:ascii="宋体" w:hAnsi="宋体" w:eastAsia="宋体" w:cs="宋体"/>
          <w:b w:val="0"/>
          <w:i w:val="0"/>
          <w:caps w:val="0"/>
          <w:color w:val="3A3836"/>
          <w:spacing w:val="0"/>
          <w:sz w:val="30"/>
          <w:szCs w:val="30"/>
          <w:shd w:val="clear" w:fill="FFFFFF"/>
        </w:rPr>
        <w:t>一般公共预算财政拨款收入：指政府凭借国家</w:t>
      </w:r>
      <w:r>
        <w:rPr>
          <w:rFonts w:hint="eastAsia" w:ascii="宋体" w:hAnsi="宋体" w:eastAsia="宋体" w:cs="宋体"/>
          <w:b w:val="0"/>
          <w:i w:val="0"/>
          <w:caps w:val="0"/>
          <w:color w:val="800080"/>
          <w:spacing w:val="0"/>
          <w:sz w:val="30"/>
          <w:szCs w:val="30"/>
          <w:u w:val="single"/>
          <w:shd w:val="clear" w:fill="FFFFFF"/>
          <w:lang w:val="en-US"/>
        </w:rPr>
        <w:fldChar w:fldCharType="begin"/>
      </w:r>
      <w:r>
        <w:rPr>
          <w:rFonts w:hint="eastAsia" w:ascii="宋体" w:hAnsi="宋体" w:eastAsia="宋体" w:cs="宋体"/>
          <w:b w:val="0"/>
          <w:i w:val="0"/>
          <w:caps w:val="0"/>
          <w:color w:val="800080"/>
          <w:spacing w:val="0"/>
          <w:sz w:val="30"/>
          <w:szCs w:val="30"/>
          <w:u w:val="single"/>
          <w:shd w:val="clear" w:fill="FFFFFF"/>
          <w:lang w:val="en-US"/>
        </w:rPr>
        <w:instrText xml:space="preserve"> HYPERLINK "http://baike.sogou.com/lemma/ShowInnerLink.htm?lemmaId=506505" \t "http://www.hdfx.gov.cn/web/_blank" </w:instrText>
      </w:r>
      <w:r>
        <w:rPr>
          <w:rFonts w:hint="eastAsia" w:ascii="宋体" w:hAnsi="宋体" w:eastAsia="宋体" w:cs="宋体"/>
          <w:b w:val="0"/>
          <w:i w:val="0"/>
          <w:caps w:val="0"/>
          <w:color w:val="800080"/>
          <w:spacing w:val="0"/>
          <w:sz w:val="30"/>
          <w:szCs w:val="30"/>
          <w:u w:val="single"/>
          <w:shd w:val="clear" w:fill="FFFFFF"/>
          <w:lang w:val="en-US"/>
        </w:rPr>
        <w:fldChar w:fldCharType="separate"/>
      </w:r>
      <w:r>
        <w:rPr>
          <w:rStyle w:val="9"/>
          <w:rFonts w:hint="eastAsia" w:ascii="宋体" w:hAnsi="宋体" w:eastAsia="宋体" w:cs="宋体"/>
          <w:b w:val="0"/>
          <w:i w:val="0"/>
          <w:caps w:val="0"/>
          <w:color w:val="000000"/>
          <w:spacing w:val="0"/>
          <w:sz w:val="30"/>
          <w:szCs w:val="30"/>
          <w:u w:val="none"/>
          <w:shd w:val="clear" w:fill="FFFFFF"/>
          <w:lang w:val="en-US"/>
        </w:rPr>
        <w:t>政治权力</w:t>
      </w:r>
      <w:r>
        <w:rPr>
          <w:rFonts w:hint="eastAsia" w:ascii="宋体" w:hAnsi="宋体" w:eastAsia="宋体" w:cs="宋体"/>
          <w:b w:val="0"/>
          <w:i w:val="0"/>
          <w:caps w:val="0"/>
          <w:color w:val="800080"/>
          <w:spacing w:val="0"/>
          <w:sz w:val="30"/>
          <w:szCs w:val="30"/>
          <w:u w:val="single"/>
          <w:shd w:val="clear" w:fill="FFFFFF"/>
          <w:lang w:val="en-US"/>
        </w:rPr>
        <w:fldChar w:fldCharType="end"/>
      </w:r>
      <w:r>
        <w:rPr>
          <w:rFonts w:hint="eastAsia" w:ascii="宋体" w:hAnsi="宋体" w:eastAsia="宋体" w:cs="宋体"/>
          <w:b w:val="0"/>
          <w:i w:val="0"/>
          <w:caps w:val="0"/>
          <w:color w:val="3A3836"/>
          <w:spacing w:val="0"/>
          <w:sz w:val="30"/>
          <w:szCs w:val="30"/>
          <w:shd w:val="clear" w:fill="FFFFFF"/>
        </w:rPr>
        <w:t>，以社会管理者身份筹集以税收为主体的财政收入，主要用于保障和改善民生、维持国家行政职能正常运转、保障国家安全等方面。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事业收入：指事业单位开展专业业务活动及辅助活动所取得的收入。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基本支出：是部门支出预算的组成部分</w:t>
      </w:r>
      <w:r>
        <w:rPr>
          <w:rFonts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是行政事业单位为保障其机构正常运转、完成日常工作任务而编制的年度</w:t>
      </w:r>
      <w:r>
        <w:rPr>
          <w:rStyle w:val="8"/>
          <w:rFonts w:hint="eastAsia" w:ascii="宋体" w:hAnsi="宋体" w:eastAsia="宋体" w:cs="宋体"/>
          <w:b w:val="0"/>
          <w:i w:val="0"/>
          <w:caps w:val="0"/>
          <w:color w:val="3A3836"/>
          <w:spacing w:val="0"/>
          <w:kern w:val="0"/>
          <w:sz w:val="30"/>
          <w:szCs w:val="30"/>
          <w:shd w:val="clear" w:fill="FFFFFF"/>
          <w:lang w:val="en-US" w:eastAsia="zh-CN" w:bidi="ar"/>
        </w:rPr>
        <w:t>基本支出</w:t>
      </w:r>
      <w:r>
        <w:rPr>
          <w:rFonts w:hint="eastAsia" w:ascii="宋体" w:hAnsi="宋体" w:eastAsia="宋体" w:cs="宋体"/>
          <w:b w:val="0"/>
          <w:i w:val="0"/>
          <w:caps w:val="0"/>
          <w:color w:val="3A3836"/>
          <w:spacing w:val="0"/>
          <w:kern w:val="0"/>
          <w:sz w:val="30"/>
          <w:szCs w:val="30"/>
          <w:shd w:val="clear" w:fill="FFFFFF"/>
          <w:lang w:val="en-US" w:eastAsia="zh-CN" w:bidi="ar"/>
        </w:rPr>
        <w:t>计划</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其内容包括人员经费和日常公用经费两部分。各部门要根据国家现有的经费政策和规定测算本部门的人员经费和公用经费</w:t>
      </w:r>
      <w:r>
        <w:rPr>
          <w:rFonts w:hint="default" w:ascii="Arial" w:hAnsi="Arial" w:cs="Arial" w:eastAsiaTheme="minorEastAsia"/>
          <w:b w:val="0"/>
          <w:i w:val="0"/>
          <w:caps w:val="0"/>
          <w:color w:val="3A3836"/>
          <w:spacing w:val="0"/>
          <w:kern w:val="0"/>
          <w:sz w:val="30"/>
          <w:szCs w:val="30"/>
          <w:shd w:val="clear" w:fill="FFFFFF"/>
          <w:lang w:val="en-US" w:eastAsia="zh-CN" w:bidi="ar"/>
        </w:rPr>
        <w:t> </w:t>
      </w:r>
      <w:r>
        <w:rPr>
          <w:rFonts w:hint="eastAsia" w:ascii="宋体" w:hAnsi="宋体" w:eastAsia="宋体" w:cs="宋体"/>
          <w:b w:val="0"/>
          <w:i w:val="0"/>
          <w:caps w:val="0"/>
          <w:color w:val="3A3836"/>
          <w:spacing w:val="0"/>
          <w:kern w:val="0"/>
          <w:sz w:val="30"/>
          <w:szCs w:val="30"/>
          <w:shd w:val="clear" w:fill="FFFFFF"/>
          <w:lang w:val="en-US" w:eastAsia="zh-CN" w:bidi="ar"/>
        </w:rPr>
        <w:t>要按照预算年度所有因素和事项</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分别轻重缓急测算每一级科目支出需求。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tLeast"/>
        <w:ind w:left="0" w:leftChars="0" w:right="0" w:rightChars="0" w:firstLine="600" w:firstLineChars="200"/>
        <w:jc w:val="both"/>
        <w:textAlignment w:val="auto"/>
        <w:outlineLvl w:val="9"/>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30"/>
          <w:szCs w:val="30"/>
          <w:shd w:val="clear" w:fill="FFFFFF"/>
          <w:lang w:val="en-US" w:eastAsia="zh-CN" w:bidi="ar"/>
        </w:rPr>
        <w:t>项目支出：是行政单位为完成特定的工作任务或事业发展目标</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在基本的预算支出以外</w:t>
      </w:r>
      <w:r>
        <w:rPr>
          <w:rFonts w:hint="default" w:ascii="Arial" w:hAnsi="Arial" w:cs="Arial" w:eastAsiaTheme="minorEastAsia"/>
          <w:b w:val="0"/>
          <w:i w:val="0"/>
          <w:caps w:val="0"/>
          <w:color w:val="3A3836"/>
          <w:spacing w:val="0"/>
          <w:kern w:val="0"/>
          <w:sz w:val="30"/>
          <w:szCs w:val="30"/>
          <w:shd w:val="clear" w:fill="FFFFFF"/>
          <w:lang w:val="en-US" w:eastAsia="zh-CN" w:bidi="ar"/>
        </w:rPr>
        <w:t>,</w:t>
      </w:r>
      <w:r>
        <w:rPr>
          <w:rFonts w:hint="eastAsia" w:ascii="宋体" w:hAnsi="宋体" w:eastAsia="宋体" w:cs="宋体"/>
          <w:b w:val="0"/>
          <w:i w:val="0"/>
          <w:caps w:val="0"/>
          <w:color w:val="3A3836"/>
          <w:spacing w:val="0"/>
          <w:kern w:val="0"/>
          <w:sz w:val="30"/>
          <w:szCs w:val="30"/>
          <w:shd w:val="clear" w:fill="FFFFFF"/>
          <w:lang w:val="en-US" w:eastAsia="zh-CN" w:bidi="ar"/>
        </w:rPr>
        <w:t>财政预算专款安排的支出。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9300" w:right="0" w:hanging="9300" w:hangingChars="3100"/>
        <w:jc w:val="left"/>
        <w:rPr>
          <w:rFonts w:hint="default" w:ascii="Calibri" w:hAnsi="Calibri" w:cs="Calibri"/>
          <w:b w:val="0"/>
          <w:i w:val="0"/>
          <w:caps w:val="0"/>
          <w:color w:val="3A3836"/>
          <w:spacing w:val="0"/>
          <w:sz w:val="30"/>
          <w:szCs w:val="30"/>
        </w:rPr>
      </w:pPr>
      <w:r>
        <w:rPr>
          <w:rFonts w:hint="default" w:ascii="Arial" w:hAnsi="Arial" w:cs="Arial" w:eastAsiaTheme="minorEastAsia"/>
          <w:b w:val="0"/>
          <w:i w:val="0"/>
          <w:caps w:val="0"/>
          <w:color w:val="3A3836"/>
          <w:spacing w:val="0"/>
          <w:kern w:val="0"/>
          <w:sz w:val="30"/>
          <w:szCs w:val="30"/>
          <w:shd w:val="clear" w:fill="FFFFFF"/>
          <w:lang w:val="en-US" w:eastAsia="zh-CN" w:bidi="ar"/>
        </w:rPr>
        <w:t> </w:t>
      </w:r>
      <w:r>
        <w:rPr>
          <w:rFonts w:hint="eastAsia" w:ascii="Arial" w:hAnsi="Arial" w:cs="Arial"/>
          <w:b w:val="0"/>
          <w:i w:val="0"/>
          <w:caps w:val="0"/>
          <w:color w:val="3A3836"/>
          <w:spacing w:val="0"/>
          <w:kern w:val="0"/>
          <w:sz w:val="30"/>
          <w:szCs w:val="30"/>
          <w:shd w:val="clear" w:fill="FFFFFF"/>
          <w:lang w:val="en-US" w:eastAsia="zh-CN" w:bidi="ar"/>
        </w:rPr>
        <w:t xml:space="preserve">                                                             </w:t>
      </w:r>
      <w:r>
        <w:rPr>
          <w:rFonts w:hint="eastAsia" w:ascii="宋体" w:hAnsi="宋体" w:eastAsia="宋体" w:cs="宋体"/>
          <w:b w:val="0"/>
          <w:i w:val="0"/>
          <w:caps w:val="0"/>
          <w:color w:val="3A3836"/>
          <w:spacing w:val="0"/>
          <w:kern w:val="0"/>
          <w:sz w:val="30"/>
          <w:szCs w:val="30"/>
          <w:shd w:val="clear" w:fill="FFFFFF"/>
          <w:lang w:val="en-US" w:eastAsia="zh-CN" w:bidi="ar"/>
        </w:rPr>
        <w:t>复兴区人民检察院                                                                                                  2020年12月31日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Calibri" w:hAnsi="Calibri" w:cs="Calibri"/>
          <w:b w:val="0"/>
          <w:i w:val="0"/>
          <w:caps w:val="0"/>
          <w:color w:val="3A3836"/>
          <w:spacing w:val="0"/>
          <w:sz w:val="21"/>
          <w:szCs w:val="21"/>
        </w:rPr>
      </w:pPr>
      <w:r>
        <w:rPr>
          <w:rFonts w:hint="eastAsia" w:ascii="宋体" w:hAnsi="宋体" w:eastAsia="宋体" w:cs="宋体"/>
          <w:b w:val="0"/>
          <w:i w:val="0"/>
          <w:caps w:val="0"/>
          <w:color w:val="3A3836"/>
          <w:spacing w:val="0"/>
          <w:kern w:val="0"/>
          <w:sz w:val="18"/>
          <w:szCs w:val="18"/>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8B792"/>
    <w:multiLevelType w:val="singleLevel"/>
    <w:tmpl w:val="8968B792"/>
    <w:lvl w:ilvl="0" w:tentative="0">
      <w:start w:val="2"/>
      <w:numFmt w:val="decimal"/>
      <w:suff w:val="nothing"/>
      <w:lvlText w:val="%1、"/>
      <w:lvlJc w:val="left"/>
    </w:lvl>
  </w:abstractNum>
  <w:abstractNum w:abstractNumId="1">
    <w:nsid w:val="5A02A03F"/>
    <w:multiLevelType w:val="singleLevel"/>
    <w:tmpl w:val="5A02A03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644A"/>
    <w:rsid w:val="01CD3245"/>
    <w:rsid w:val="01D22426"/>
    <w:rsid w:val="01E10243"/>
    <w:rsid w:val="028C0EF0"/>
    <w:rsid w:val="0434016B"/>
    <w:rsid w:val="04CF46A5"/>
    <w:rsid w:val="053B340F"/>
    <w:rsid w:val="056210C1"/>
    <w:rsid w:val="05931420"/>
    <w:rsid w:val="06233C62"/>
    <w:rsid w:val="064056FC"/>
    <w:rsid w:val="06D92ABD"/>
    <w:rsid w:val="073F18C6"/>
    <w:rsid w:val="08147A8E"/>
    <w:rsid w:val="087911AB"/>
    <w:rsid w:val="09564D66"/>
    <w:rsid w:val="0B23481B"/>
    <w:rsid w:val="0C413B01"/>
    <w:rsid w:val="0CE83935"/>
    <w:rsid w:val="0EBA27CC"/>
    <w:rsid w:val="0FDB17D5"/>
    <w:rsid w:val="0FE80616"/>
    <w:rsid w:val="10A16973"/>
    <w:rsid w:val="10A23DE1"/>
    <w:rsid w:val="10BF1634"/>
    <w:rsid w:val="10C07683"/>
    <w:rsid w:val="110638E4"/>
    <w:rsid w:val="112A6984"/>
    <w:rsid w:val="11C112B5"/>
    <w:rsid w:val="11EF205C"/>
    <w:rsid w:val="12964F55"/>
    <w:rsid w:val="14003F52"/>
    <w:rsid w:val="14733853"/>
    <w:rsid w:val="14A4573D"/>
    <w:rsid w:val="14E93DFD"/>
    <w:rsid w:val="15166489"/>
    <w:rsid w:val="15200631"/>
    <w:rsid w:val="153B28CE"/>
    <w:rsid w:val="15B061D8"/>
    <w:rsid w:val="15D46AAD"/>
    <w:rsid w:val="16703746"/>
    <w:rsid w:val="16D8018D"/>
    <w:rsid w:val="171E7EB8"/>
    <w:rsid w:val="17911DD6"/>
    <w:rsid w:val="17BC02FB"/>
    <w:rsid w:val="185C2681"/>
    <w:rsid w:val="18F7066E"/>
    <w:rsid w:val="19124CE1"/>
    <w:rsid w:val="193A1E01"/>
    <w:rsid w:val="19894F5A"/>
    <w:rsid w:val="19927DB7"/>
    <w:rsid w:val="1AA83379"/>
    <w:rsid w:val="1BA254E6"/>
    <w:rsid w:val="1BD711EA"/>
    <w:rsid w:val="1D715C2B"/>
    <w:rsid w:val="1E711544"/>
    <w:rsid w:val="1ECE3118"/>
    <w:rsid w:val="1F482015"/>
    <w:rsid w:val="20247161"/>
    <w:rsid w:val="20374B03"/>
    <w:rsid w:val="20965910"/>
    <w:rsid w:val="21985ECA"/>
    <w:rsid w:val="222E1B09"/>
    <w:rsid w:val="22747D3E"/>
    <w:rsid w:val="2276315F"/>
    <w:rsid w:val="227914E1"/>
    <w:rsid w:val="24096415"/>
    <w:rsid w:val="247A0E0E"/>
    <w:rsid w:val="25203FCF"/>
    <w:rsid w:val="252F4D02"/>
    <w:rsid w:val="255674A1"/>
    <w:rsid w:val="25B463ED"/>
    <w:rsid w:val="25C666BA"/>
    <w:rsid w:val="263F1AAB"/>
    <w:rsid w:val="271E50C3"/>
    <w:rsid w:val="274849E4"/>
    <w:rsid w:val="27E5538F"/>
    <w:rsid w:val="282270FF"/>
    <w:rsid w:val="28D9400D"/>
    <w:rsid w:val="293768BC"/>
    <w:rsid w:val="2A2652D7"/>
    <w:rsid w:val="2A9B5363"/>
    <w:rsid w:val="2B15464A"/>
    <w:rsid w:val="2BCA4B1A"/>
    <w:rsid w:val="2BE60CDE"/>
    <w:rsid w:val="2C6F1B0B"/>
    <w:rsid w:val="2D1367A5"/>
    <w:rsid w:val="2D3D4C58"/>
    <w:rsid w:val="2E051B96"/>
    <w:rsid w:val="2E6D5892"/>
    <w:rsid w:val="2FAE2584"/>
    <w:rsid w:val="304400DC"/>
    <w:rsid w:val="30496BC6"/>
    <w:rsid w:val="31451E34"/>
    <w:rsid w:val="319D473A"/>
    <w:rsid w:val="3206091B"/>
    <w:rsid w:val="320B12C0"/>
    <w:rsid w:val="3244760C"/>
    <w:rsid w:val="32BA7B7D"/>
    <w:rsid w:val="33337BDB"/>
    <w:rsid w:val="33892B04"/>
    <w:rsid w:val="33E249E2"/>
    <w:rsid w:val="343848FE"/>
    <w:rsid w:val="346E2BD1"/>
    <w:rsid w:val="35086831"/>
    <w:rsid w:val="35211C49"/>
    <w:rsid w:val="359D7955"/>
    <w:rsid w:val="35D517E0"/>
    <w:rsid w:val="360D37CA"/>
    <w:rsid w:val="37172F1E"/>
    <w:rsid w:val="37350A64"/>
    <w:rsid w:val="37D25D1F"/>
    <w:rsid w:val="392C2198"/>
    <w:rsid w:val="3A623815"/>
    <w:rsid w:val="3ABA3435"/>
    <w:rsid w:val="3ABE06B0"/>
    <w:rsid w:val="3BEC2CA1"/>
    <w:rsid w:val="3C64382A"/>
    <w:rsid w:val="3D1879DA"/>
    <w:rsid w:val="3D305765"/>
    <w:rsid w:val="3DC154F2"/>
    <w:rsid w:val="3DF53076"/>
    <w:rsid w:val="3E48570A"/>
    <w:rsid w:val="3E8C1139"/>
    <w:rsid w:val="3EB4529A"/>
    <w:rsid w:val="3F23680F"/>
    <w:rsid w:val="3F580135"/>
    <w:rsid w:val="3FED26B7"/>
    <w:rsid w:val="40B732AD"/>
    <w:rsid w:val="40D70F6E"/>
    <w:rsid w:val="412C6AFA"/>
    <w:rsid w:val="4177020A"/>
    <w:rsid w:val="42113991"/>
    <w:rsid w:val="421C6BFC"/>
    <w:rsid w:val="424103B5"/>
    <w:rsid w:val="429135A4"/>
    <w:rsid w:val="4340127A"/>
    <w:rsid w:val="43CB0E95"/>
    <w:rsid w:val="448657A6"/>
    <w:rsid w:val="44DC38EC"/>
    <w:rsid w:val="45985638"/>
    <w:rsid w:val="470261D1"/>
    <w:rsid w:val="477F7AEC"/>
    <w:rsid w:val="47C713C9"/>
    <w:rsid w:val="47E7180A"/>
    <w:rsid w:val="48C11A8F"/>
    <w:rsid w:val="48DC0F1A"/>
    <w:rsid w:val="49065D34"/>
    <w:rsid w:val="49DD05AD"/>
    <w:rsid w:val="4A4C3A66"/>
    <w:rsid w:val="4A50176C"/>
    <w:rsid w:val="4ABF69D3"/>
    <w:rsid w:val="4B567B2B"/>
    <w:rsid w:val="4C2E28B4"/>
    <w:rsid w:val="4C42391E"/>
    <w:rsid w:val="4C97390C"/>
    <w:rsid w:val="4CA7334C"/>
    <w:rsid w:val="4CBE33D2"/>
    <w:rsid w:val="4EBF7402"/>
    <w:rsid w:val="4F126B24"/>
    <w:rsid w:val="4F465E26"/>
    <w:rsid w:val="4F9F4D87"/>
    <w:rsid w:val="50201522"/>
    <w:rsid w:val="528C73ED"/>
    <w:rsid w:val="529E7C4E"/>
    <w:rsid w:val="52D31589"/>
    <w:rsid w:val="53040B9A"/>
    <w:rsid w:val="54774786"/>
    <w:rsid w:val="55461CEA"/>
    <w:rsid w:val="564A2FA9"/>
    <w:rsid w:val="570A55CA"/>
    <w:rsid w:val="574651F9"/>
    <w:rsid w:val="574F583F"/>
    <w:rsid w:val="57570EAA"/>
    <w:rsid w:val="58232B59"/>
    <w:rsid w:val="58CE6F56"/>
    <w:rsid w:val="596A0FEF"/>
    <w:rsid w:val="59805C16"/>
    <w:rsid w:val="5A653C51"/>
    <w:rsid w:val="5A7A3534"/>
    <w:rsid w:val="5A826281"/>
    <w:rsid w:val="5A857124"/>
    <w:rsid w:val="5B0C69BE"/>
    <w:rsid w:val="5B1976E0"/>
    <w:rsid w:val="5B597722"/>
    <w:rsid w:val="5B7E6BE3"/>
    <w:rsid w:val="5BF566EA"/>
    <w:rsid w:val="5BFE4391"/>
    <w:rsid w:val="5C715C8A"/>
    <w:rsid w:val="5C9B679A"/>
    <w:rsid w:val="5D673338"/>
    <w:rsid w:val="5DA624D9"/>
    <w:rsid w:val="5DC509A8"/>
    <w:rsid w:val="5E28206F"/>
    <w:rsid w:val="5E4161E0"/>
    <w:rsid w:val="5E954207"/>
    <w:rsid w:val="5F3641F3"/>
    <w:rsid w:val="604341B4"/>
    <w:rsid w:val="605B6F62"/>
    <w:rsid w:val="60FA3573"/>
    <w:rsid w:val="61696D4B"/>
    <w:rsid w:val="61883207"/>
    <w:rsid w:val="62424944"/>
    <w:rsid w:val="629A3570"/>
    <w:rsid w:val="634447E1"/>
    <w:rsid w:val="63575EDB"/>
    <w:rsid w:val="64281444"/>
    <w:rsid w:val="642F7CCC"/>
    <w:rsid w:val="64870CAA"/>
    <w:rsid w:val="65644512"/>
    <w:rsid w:val="67192D4B"/>
    <w:rsid w:val="673240A3"/>
    <w:rsid w:val="678C391B"/>
    <w:rsid w:val="67DE0A55"/>
    <w:rsid w:val="682A6886"/>
    <w:rsid w:val="68E57080"/>
    <w:rsid w:val="6A5B398E"/>
    <w:rsid w:val="6B553776"/>
    <w:rsid w:val="6B936ECD"/>
    <w:rsid w:val="6C587369"/>
    <w:rsid w:val="6CA21199"/>
    <w:rsid w:val="6D0C0D3A"/>
    <w:rsid w:val="6D3F0805"/>
    <w:rsid w:val="6E6E1EF5"/>
    <w:rsid w:val="6F035480"/>
    <w:rsid w:val="6F5D2182"/>
    <w:rsid w:val="6FBC658B"/>
    <w:rsid w:val="6FE6753D"/>
    <w:rsid w:val="70F251FA"/>
    <w:rsid w:val="71197F14"/>
    <w:rsid w:val="71A26049"/>
    <w:rsid w:val="729B4194"/>
    <w:rsid w:val="72AA4547"/>
    <w:rsid w:val="744E5682"/>
    <w:rsid w:val="747500E1"/>
    <w:rsid w:val="74C66507"/>
    <w:rsid w:val="75071602"/>
    <w:rsid w:val="7576330E"/>
    <w:rsid w:val="757F7107"/>
    <w:rsid w:val="769564AE"/>
    <w:rsid w:val="771474EE"/>
    <w:rsid w:val="772B6CFB"/>
    <w:rsid w:val="78127931"/>
    <w:rsid w:val="78AD0E66"/>
    <w:rsid w:val="78F94834"/>
    <w:rsid w:val="79407664"/>
    <w:rsid w:val="79693FB0"/>
    <w:rsid w:val="79894226"/>
    <w:rsid w:val="798C2928"/>
    <w:rsid w:val="7AA9126F"/>
    <w:rsid w:val="7B37699C"/>
    <w:rsid w:val="7C2F0C83"/>
    <w:rsid w:val="7CBC6A69"/>
    <w:rsid w:val="7CF65649"/>
    <w:rsid w:val="7DE67BB4"/>
    <w:rsid w:val="7DEC2065"/>
    <w:rsid w:val="7E2604D8"/>
    <w:rsid w:val="7E463C33"/>
    <w:rsid w:val="7EE14DD6"/>
    <w:rsid w:val="7F68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en-US"/>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333333"/>
      <w:u w:val="none"/>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123456</cp:lastModifiedBy>
  <dcterms:modified xsi:type="dcterms:W3CDTF">2021-01-11T09:57:54Z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