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Calibri" w:hAnsi="Calibri" w:cs="Calibri"/>
          <w:b w:val="0"/>
          <w:i w:val="0"/>
          <w:caps w:val="0"/>
          <w:color w:val="3A3836"/>
          <w:spacing w:val="0"/>
          <w:sz w:val="21"/>
          <w:szCs w:val="21"/>
        </w:rPr>
      </w:pPr>
      <w:r>
        <w:rPr>
          <w:rFonts w:hint="eastAsia" w:ascii="宋体" w:hAnsi="宋体" w:eastAsia="宋体" w:cs="宋体"/>
          <w:b w:val="0"/>
          <w:i w:val="0"/>
          <w:caps w:val="0"/>
          <w:color w:val="3A3836"/>
          <w:spacing w:val="0"/>
          <w:kern w:val="0"/>
          <w:sz w:val="48"/>
          <w:szCs w:val="48"/>
          <w:shd w:val="clear" w:fill="FFFFFF"/>
          <w:lang w:val="en-US" w:eastAsia="zh-CN" w:bidi="ar"/>
        </w:rPr>
        <w:t>复兴区人民检察院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Calibri" w:hAnsi="Calibri" w:cs="Calibri"/>
          <w:b w:val="0"/>
          <w:i w:val="0"/>
          <w:caps w:val="0"/>
          <w:color w:val="3A3836"/>
          <w:spacing w:val="0"/>
          <w:sz w:val="21"/>
          <w:szCs w:val="21"/>
        </w:rPr>
      </w:pPr>
      <w:r>
        <w:rPr>
          <w:rFonts w:hint="eastAsia" w:ascii="方正小标宋_GBK" w:hAnsi="方正小标宋_GBK" w:eastAsia="方正小标宋_GBK" w:cs="方正小标宋_GBK"/>
          <w:b w:val="0"/>
          <w:i w:val="0"/>
          <w:caps w:val="0"/>
          <w:color w:val="3A3836"/>
          <w:spacing w:val="0"/>
          <w:kern w:val="0"/>
          <w:sz w:val="48"/>
          <w:szCs w:val="48"/>
          <w:shd w:val="clear" w:fill="FFFFFF"/>
          <w:lang w:val="en-US" w:eastAsia="zh-CN" w:bidi="ar"/>
        </w:rPr>
        <w:t>2017</w:t>
      </w:r>
      <w:r>
        <w:rPr>
          <w:rFonts w:hint="eastAsia" w:ascii="宋体" w:hAnsi="宋体" w:eastAsia="宋体" w:cs="宋体"/>
          <w:b w:val="0"/>
          <w:i w:val="0"/>
          <w:caps w:val="0"/>
          <w:color w:val="3A3836"/>
          <w:spacing w:val="0"/>
          <w:kern w:val="0"/>
          <w:sz w:val="48"/>
          <w:szCs w:val="48"/>
          <w:shd w:val="clear" w:fill="FFFFFF"/>
          <w:lang w:val="en-US" w:eastAsia="zh-CN" w:bidi="ar"/>
        </w:rPr>
        <w:t>年度部门决算公开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3A3836"/>
          <w:spacing w:val="0"/>
          <w:sz w:val="18"/>
          <w:szCs w:val="18"/>
        </w:rPr>
      </w:pPr>
      <w:r>
        <w:rPr>
          <w:rFonts w:hint="eastAsia" w:ascii="宋体" w:hAnsi="宋体" w:eastAsia="宋体" w:cs="宋体"/>
          <w:b/>
          <w:i w:val="0"/>
          <w:caps w:val="0"/>
          <w:color w:val="3A3836"/>
          <w:spacing w:val="0"/>
          <w:kern w:val="0"/>
          <w:sz w:val="30"/>
          <w:szCs w:val="30"/>
          <w:shd w:val="clear" w:fill="FFFFFF"/>
          <w:lang w:val="en-US" w:eastAsia="zh-CN" w:bidi="ar"/>
        </w:rPr>
        <w:t>第一部分  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一、部门职责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二、部门决算单位主要构成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3A3836"/>
          <w:spacing w:val="0"/>
          <w:sz w:val="18"/>
          <w:szCs w:val="18"/>
        </w:rPr>
      </w:pPr>
      <w:r>
        <w:rPr>
          <w:rFonts w:hint="eastAsia" w:ascii="宋体" w:hAnsi="宋体" w:eastAsia="宋体" w:cs="宋体"/>
          <w:b/>
          <w:i w:val="0"/>
          <w:caps w:val="0"/>
          <w:color w:val="3A3836"/>
          <w:spacing w:val="0"/>
          <w:kern w:val="0"/>
          <w:sz w:val="30"/>
          <w:szCs w:val="30"/>
          <w:shd w:val="clear" w:fill="FFFFFF"/>
          <w:lang w:val="en-US" w:eastAsia="zh-CN" w:bidi="ar"/>
        </w:rPr>
        <w:t>第二部分   复兴区人民检察院2017年度部门决算报表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一、收入支出决算总表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二、收入决算表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三、支出决算表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四、财政拨款收入支出决算总表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五、一般公共预算财政拨款收入支出决算表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六、一般公共预算财政拨款基本支出决算经济分类表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七、政府性基金财政拨款基本支出决算表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八、国有资本经营预算财政拨款收入支出决算表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九、“三公”经费及相关信息统计表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十、政府采购情况表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3A3836"/>
          <w:spacing w:val="0"/>
          <w:sz w:val="18"/>
          <w:szCs w:val="18"/>
        </w:rPr>
      </w:pPr>
      <w:r>
        <w:rPr>
          <w:rFonts w:hint="eastAsia" w:ascii="宋体" w:hAnsi="宋体" w:eastAsia="宋体" w:cs="宋体"/>
          <w:b/>
          <w:i w:val="0"/>
          <w:caps w:val="0"/>
          <w:color w:val="3A3836"/>
          <w:spacing w:val="0"/>
          <w:kern w:val="0"/>
          <w:sz w:val="30"/>
          <w:szCs w:val="30"/>
          <w:shd w:val="clear" w:fill="FFFFFF"/>
          <w:lang w:val="en-US" w:eastAsia="zh-CN" w:bidi="ar"/>
        </w:rPr>
        <w:t>第三部分  复兴区人民检察院2017年部门决算情况说明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一、收入支出决算总体情况说明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二、收入决算情况说明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三、支出决算情况说明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四、财政拨款收入支出决算总体情况说明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五、“三公”经费支出决算情况说明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六、预算绩效管理工作开展情况说明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七、其他重要事项的说明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1、机关运行经费的情况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2、政府采购情况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3、国有资产占用情况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4、其他需要说明的情况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3A3836"/>
          <w:spacing w:val="0"/>
          <w:sz w:val="18"/>
          <w:szCs w:val="18"/>
        </w:rPr>
      </w:pPr>
      <w:r>
        <w:rPr>
          <w:rFonts w:hint="eastAsia" w:ascii="宋体" w:hAnsi="宋体" w:eastAsia="宋体" w:cs="宋体"/>
          <w:b/>
          <w:i w:val="0"/>
          <w:caps w:val="0"/>
          <w:color w:val="3A3836"/>
          <w:spacing w:val="0"/>
          <w:kern w:val="0"/>
          <w:sz w:val="30"/>
          <w:szCs w:val="30"/>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方正小标宋_GBK" w:hAnsi="方正小标宋_GBK" w:eastAsia="方正小标宋_GBK" w:cs="方正小标宋_GBK"/>
          <w:b w:val="0"/>
          <w:i w:val="0"/>
          <w:caps w:val="0"/>
          <w:color w:val="3A3836"/>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420" w:rightChars="200"/>
        <w:jc w:val="both"/>
        <w:textAlignment w:val="auto"/>
        <w:outlineLvl w:val="9"/>
        <w:rPr>
          <w:rFonts w:hint="default" w:ascii="Calibri" w:hAnsi="Calibri" w:cs="Calibri"/>
          <w:b w:val="0"/>
          <w:i w:val="0"/>
          <w:caps w:val="0"/>
          <w:color w:val="3A3836"/>
          <w:spacing w:val="0"/>
          <w:sz w:val="21"/>
          <w:szCs w:val="21"/>
        </w:rPr>
      </w:pPr>
      <w:r>
        <w:rPr>
          <w:rFonts w:hint="eastAsia" w:asciiTheme="minorEastAsia" w:hAnsiTheme="minorEastAsia" w:eastAsiaTheme="minorEastAsia" w:cstheme="minorEastAsia"/>
          <w:b/>
          <w:bCs/>
          <w:i w:val="0"/>
          <w:caps w:val="0"/>
          <w:color w:val="3A3836"/>
          <w:spacing w:val="0"/>
          <w:kern w:val="0"/>
          <w:sz w:val="32"/>
          <w:szCs w:val="32"/>
          <w:shd w:val="clear" w:fill="FFFFFF"/>
          <w:lang w:val="en-US" w:eastAsia="zh-CN" w:bidi="ar"/>
        </w:rPr>
        <w:t>第一部分 部门概况</w:t>
      </w:r>
      <w:r>
        <w:rPr>
          <w:rFonts w:hint="eastAsia" w:ascii="宋体" w:hAnsi="宋体" w:eastAsia="宋体" w:cs="宋体"/>
          <w:b w:val="0"/>
          <w:i w:val="0"/>
          <w:caps w:val="0"/>
          <w:color w:val="3A3836"/>
          <w:spacing w:val="0"/>
          <w:kern w:val="0"/>
          <w:sz w:val="18"/>
          <w:szCs w:val="1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720" w:firstLineChars="0"/>
        <w:jc w:val="left"/>
        <w:textAlignment w:val="auto"/>
        <w:outlineLvl w:val="9"/>
        <w:rPr>
          <w:rFonts w:hint="eastAsia" w:asciiTheme="majorEastAsia" w:hAnsiTheme="majorEastAsia" w:eastAsiaTheme="majorEastAsia" w:cstheme="majorEastAsia"/>
          <w:b w:val="0"/>
          <w:i w:val="0"/>
          <w:caps w:val="0"/>
          <w:color w:val="3A3836"/>
          <w:spacing w:val="0"/>
          <w:sz w:val="32"/>
          <w:szCs w:val="32"/>
        </w:rPr>
      </w:pPr>
      <w:r>
        <w:rPr>
          <w:rFonts w:hint="eastAsia" w:asciiTheme="majorEastAsia" w:hAnsiTheme="majorEastAsia" w:eastAsiaTheme="majorEastAsia" w:cstheme="majorEastAsia"/>
          <w:b w:val="0"/>
          <w:i w:val="0"/>
          <w:caps w:val="0"/>
          <w:color w:val="3A3836"/>
          <w:spacing w:val="0"/>
          <w:kern w:val="0"/>
          <w:sz w:val="32"/>
          <w:szCs w:val="32"/>
          <w:shd w:val="clear" w:fill="FFFFFF"/>
          <w:lang w:val="en-US" w:eastAsia="zh-CN" w:bidi="ar"/>
        </w:rPr>
        <w:t>一、部门职责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bookmarkStart w:id="0" w:name="OLE_LINK1"/>
      <w:bookmarkEnd w:id="0"/>
      <w:r>
        <w:rPr>
          <w:rFonts w:hint="eastAsia" w:ascii="宋体" w:hAnsi="宋体" w:eastAsia="宋体" w:cs="宋体"/>
          <w:b w:val="0"/>
          <w:i w:val="0"/>
          <w:caps w:val="0"/>
          <w:color w:val="3A3836"/>
          <w:spacing w:val="0"/>
          <w:kern w:val="0"/>
          <w:sz w:val="30"/>
          <w:szCs w:val="30"/>
          <w:shd w:val="clear" w:fill="FFFFFF"/>
          <w:lang w:val="en-US" w:eastAsia="zh-CN" w:bidi="ar"/>
        </w:rPr>
        <w:t>复兴区检察院是国家法律监督机关的组成部分，其主要职责是：一、对区人大及常委会和市人民检察院负责并报告工作，接受监督；二、对刑事案件依法审查批捕，提起公诉；三、对区法院民事、经济审判和行政诉讼实行法律监督；四、对错判的提出建议、依法提起抗诉；五、受理控告、申诉和检举，办理刑事赔偿事项；六、对职务犯罪预防工作进行研究，并提出对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720" w:firstLineChars="0"/>
        <w:jc w:val="left"/>
        <w:textAlignment w:val="auto"/>
        <w:outlineLvl w:val="9"/>
        <w:rPr>
          <w:rFonts w:hint="default" w:asciiTheme="majorEastAsia" w:hAnsiTheme="majorEastAsia" w:eastAsiaTheme="majorEastAsia" w:cstheme="majorEastAsia"/>
          <w:b w:val="0"/>
          <w:i w:val="0"/>
          <w:caps w:val="0"/>
          <w:color w:val="3A3836"/>
          <w:spacing w:val="0"/>
          <w:kern w:val="0"/>
          <w:sz w:val="32"/>
          <w:szCs w:val="32"/>
          <w:shd w:val="clear" w:fill="FFFFFF"/>
          <w:lang w:val="en-US" w:eastAsia="zh-CN" w:bidi="ar"/>
        </w:rPr>
      </w:pPr>
      <w:r>
        <w:rPr>
          <w:rFonts w:hint="default" w:asciiTheme="majorEastAsia" w:hAnsiTheme="majorEastAsia" w:eastAsiaTheme="majorEastAsia" w:cstheme="majorEastAsia"/>
          <w:b w:val="0"/>
          <w:i w:val="0"/>
          <w:caps w:val="0"/>
          <w:color w:val="3A3836"/>
          <w:spacing w:val="0"/>
          <w:kern w:val="0"/>
          <w:sz w:val="32"/>
          <w:szCs w:val="32"/>
          <w:shd w:val="clear" w:fill="FFFFFF"/>
          <w:lang w:val="en-US" w:eastAsia="zh-CN" w:bidi="ar"/>
        </w:rPr>
        <w:t>二、</w:t>
      </w:r>
      <w:r>
        <w:rPr>
          <w:rFonts w:hint="eastAsia" w:asciiTheme="majorEastAsia" w:hAnsiTheme="majorEastAsia" w:eastAsiaTheme="majorEastAsia" w:cstheme="majorEastAsia"/>
          <w:b w:val="0"/>
          <w:i w:val="0"/>
          <w:caps w:val="0"/>
          <w:color w:val="3A3836"/>
          <w:spacing w:val="0"/>
          <w:kern w:val="0"/>
          <w:sz w:val="32"/>
          <w:szCs w:val="32"/>
          <w:shd w:val="clear" w:fill="FFFFFF"/>
          <w:lang w:val="en-US" w:eastAsia="zh-CN" w:bidi="ar"/>
        </w:rPr>
        <w:t>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复兴区人民检察院内设15个内部机构，其中：办公室、政治处、侦查监督科、公诉科、人民监督员办公室、刑事执行检察局、控告申诉检察科、民事行政检察科、计财装备科、未成年人刑事检察科、法律政策研究室、司法警察大队、检察技术科、纪检组（监察室）、案件管理中心。1个派出机构彭家寨乡检察室，下属事业单位包括后勤保障中心，规格为股级，全民事业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420" w:rightChars="200"/>
        <w:jc w:val="both"/>
        <w:textAlignment w:val="auto"/>
        <w:outlineLvl w:val="9"/>
        <w:rPr>
          <w:rFonts w:hint="eastAsia" w:ascii="宋体" w:hAnsi="宋体" w:eastAsia="宋体" w:cs="宋体"/>
          <w:b w:val="0"/>
          <w:i w:val="0"/>
          <w:caps w:val="0"/>
          <w:color w:val="3A3836"/>
          <w:spacing w:val="0"/>
          <w:kern w:val="0"/>
          <w:sz w:val="36"/>
          <w:szCs w:val="36"/>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420" w:rightChars="200"/>
        <w:jc w:val="both"/>
        <w:textAlignment w:val="auto"/>
        <w:outlineLvl w:val="9"/>
        <w:rPr>
          <w:rFonts w:hint="default" w:ascii="宋体" w:hAnsi="宋体" w:eastAsia="宋体" w:cs="宋体"/>
          <w:b w:val="0"/>
          <w:i w:val="0"/>
          <w:caps w:val="0"/>
          <w:color w:val="3A3836"/>
          <w:spacing w:val="0"/>
          <w:kern w:val="0"/>
          <w:sz w:val="36"/>
          <w:szCs w:val="36"/>
          <w:shd w:val="clear" w:fill="FFFFFF"/>
          <w:lang w:val="en-US" w:eastAsia="zh-CN" w:bidi="ar"/>
        </w:rPr>
      </w:pPr>
      <w:r>
        <w:rPr>
          <w:rFonts w:hint="eastAsia" w:asciiTheme="minorEastAsia" w:hAnsiTheme="minorEastAsia" w:eastAsiaTheme="minorEastAsia" w:cstheme="minorEastAsia"/>
          <w:b/>
          <w:bCs/>
          <w:i w:val="0"/>
          <w:caps w:val="0"/>
          <w:color w:val="3A3836"/>
          <w:spacing w:val="0"/>
          <w:kern w:val="0"/>
          <w:sz w:val="32"/>
          <w:szCs w:val="32"/>
          <w:shd w:val="clear" w:fill="FFFFFF"/>
          <w:lang w:val="en-US" w:eastAsia="zh-CN" w:bidi="ar"/>
        </w:rPr>
        <w:t>第</w:t>
      </w:r>
      <w:r>
        <w:rPr>
          <w:rFonts w:hint="eastAsia" w:asciiTheme="minorEastAsia" w:hAnsiTheme="minorEastAsia" w:cstheme="minorEastAsia"/>
          <w:b/>
          <w:bCs/>
          <w:i w:val="0"/>
          <w:caps w:val="0"/>
          <w:color w:val="3A3836"/>
          <w:spacing w:val="0"/>
          <w:kern w:val="0"/>
          <w:sz w:val="32"/>
          <w:szCs w:val="32"/>
          <w:shd w:val="clear" w:fill="FFFFFF"/>
          <w:lang w:val="en-US" w:eastAsia="zh-CN" w:bidi="ar"/>
        </w:rPr>
        <w:t>二</w:t>
      </w:r>
      <w:r>
        <w:rPr>
          <w:rFonts w:hint="eastAsia" w:asciiTheme="minorEastAsia" w:hAnsiTheme="minorEastAsia" w:eastAsiaTheme="minorEastAsia" w:cstheme="minorEastAsia"/>
          <w:b/>
          <w:bCs/>
          <w:i w:val="0"/>
          <w:caps w:val="0"/>
          <w:color w:val="3A3836"/>
          <w:spacing w:val="0"/>
          <w:kern w:val="0"/>
          <w:sz w:val="32"/>
          <w:szCs w:val="32"/>
          <w:shd w:val="clear" w:fill="FFFFFF"/>
          <w:lang w:val="en-US" w:eastAsia="zh-CN" w:bidi="ar"/>
        </w:rPr>
        <w:t>部分</w:t>
      </w:r>
      <w:r>
        <w:rPr>
          <w:rFonts w:hint="eastAsia" w:asciiTheme="minorEastAsia" w:hAnsiTheme="minorEastAsia" w:cstheme="minorEastAsia"/>
          <w:b/>
          <w:bCs/>
          <w:i w:val="0"/>
          <w:caps w:val="0"/>
          <w:color w:val="3A3836"/>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3A3836"/>
          <w:spacing w:val="0"/>
          <w:kern w:val="0"/>
          <w:sz w:val="32"/>
          <w:szCs w:val="32"/>
          <w:shd w:val="clear" w:fill="FFFFFF"/>
          <w:lang w:val="en-US" w:eastAsia="zh-CN" w:bidi="ar"/>
        </w:rPr>
        <w:t>决算</w:t>
      </w:r>
      <w:r>
        <w:rPr>
          <w:rFonts w:hint="default" w:asciiTheme="minorEastAsia" w:hAnsiTheme="minorEastAsia" w:eastAsiaTheme="minorEastAsia" w:cstheme="minorEastAsia"/>
          <w:b/>
          <w:bCs/>
          <w:i w:val="0"/>
          <w:caps w:val="0"/>
          <w:color w:val="3A3836"/>
          <w:spacing w:val="0"/>
          <w:kern w:val="0"/>
          <w:sz w:val="32"/>
          <w:szCs w:val="32"/>
          <w:shd w:val="clear" w:fill="FFFFFF"/>
          <w:lang w:val="en-US" w:eastAsia="zh-CN" w:bidi="ar"/>
        </w:rPr>
        <w:t>单位</w:t>
      </w:r>
      <w:r>
        <w:rPr>
          <w:rFonts w:hint="eastAsia" w:asciiTheme="minorEastAsia" w:hAnsiTheme="minorEastAsia" w:eastAsiaTheme="minorEastAsia" w:cstheme="minorEastAsia"/>
          <w:b/>
          <w:bCs/>
          <w:i w:val="0"/>
          <w:caps w:val="0"/>
          <w:color w:val="3A3836"/>
          <w:spacing w:val="0"/>
          <w:kern w:val="0"/>
          <w:sz w:val="32"/>
          <w:szCs w:val="32"/>
          <w:shd w:val="clear" w:fill="FFFFFF"/>
          <w:lang w:val="en-US" w:eastAsia="zh-CN" w:bidi="ar"/>
        </w:rPr>
        <w:t>2017年度部门决算报表（表见附件）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一、收入支出决算总表  见附件公开01表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二、收入决算表 见附件公开02表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三、支出决算表  见附件公开03表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四、财政拨款收入支出决算总表  见附件公开04表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五、一般公共预算财政拨款支出决算表  见附件公开05表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六、一般公共预算财政拨款基本支出决算经济分类表  见附件公开06表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七、政府性基金预算财政拨款收入支出决算表  见附件公开07表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国有资本经营预算财政拨款收入支出决算表  见附件公开08表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九、“三公”经费等相关信息统计表  见附件公开09表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十、政府采购情况表  见附件公开10表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0" w:rightChars="0"/>
        <w:jc w:val="both"/>
        <w:textAlignment w:val="auto"/>
        <w:outlineLvl w:val="9"/>
        <w:rPr>
          <w:rFonts w:hint="eastAsia" w:ascii="宋体" w:hAnsi="宋体" w:eastAsia="宋体" w:cs="宋体"/>
          <w:b w:val="0"/>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420" w:rightChars="200"/>
        <w:jc w:val="both"/>
        <w:textAlignment w:val="auto"/>
        <w:outlineLvl w:val="9"/>
        <w:rPr>
          <w:rFonts w:hint="eastAsia" w:ascii="宋体" w:hAnsi="宋体" w:eastAsia="宋体" w:cs="宋体"/>
          <w:b/>
          <w:bCs/>
          <w:i w:val="0"/>
          <w:caps w:val="0"/>
          <w:color w:val="3A3836"/>
          <w:spacing w:val="0"/>
          <w:kern w:val="0"/>
          <w:sz w:val="32"/>
          <w:szCs w:val="32"/>
          <w:shd w:val="clear" w:fill="FFFFFF"/>
          <w:lang w:val="en-US" w:eastAsia="zh-CN" w:bidi="ar"/>
        </w:rPr>
      </w:pPr>
      <w:r>
        <w:rPr>
          <w:rFonts w:hint="eastAsia" w:ascii="宋体" w:hAnsi="宋体" w:eastAsia="宋体" w:cs="宋体"/>
          <w:b/>
          <w:bCs/>
          <w:i w:val="0"/>
          <w:caps w:val="0"/>
          <w:color w:val="3A3836"/>
          <w:spacing w:val="0"/>
          <w:kern w:val="0"/>
          <w:sz w:val="32"/>
          <w:szCs w:val="32"/>
          <w:shd w:val="clear" w:fill="FFFFFF"/>
          <w:lang w:val="en-US" w:eastAsia="zh-CN" w:bidi="ar"/>
        </w:rPr>
        <w:t>第三部分 决算单位2017年部门决算情况说明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40" w:firstLineChars="2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一、收入支出决算总体情况说明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我部门2017年度上年结转和结余0万元，本年收入1793.16万元，本年支出1793.16万元，年末结转和结余0万元。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2017年度事业基金弥补收支差额0万元，结余分配0万元，年末结转和结余0万元。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2017年度一般公共预算财政拨款年初结转和结余0万元，本年收入1793.16万元，本年支出1793.16万元，年末结转和结余0万元。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2017年度政府性基金预算财政拨款年初结转和结余0万元，本年收入0万元，本年支出0万元，年末结转和结余0万元。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2017年三公经费支出决算数是13.98万元，2016年决算数是14.9万元，比2016年减少0.92万元。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0" w:rightChars="0" w:firstLine="640" w:firstLineChars="2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二、收入决算情况说明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我部门2017年度收入1793.16万元，其中财政拨款收入1793.16万元，无上级补助收入、无事业收入、无经营收入、无附属单位上缴收入、无其他收入。2016年决算收入1191.7万元，2017年收入比2016年增加601.46万元。收入增加的主要原因：一是我部门2017年人员数量增加，行政运行中工资收入增加；二是随着办案业务量增加，办案业务收入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2017年预算收入1291.11元，2017年决算收入比预算多502.05万元，主要原因是原因是司改实施经费增加、人员</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工资收入增加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以及人员正常工资调整。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Chars="200" w:right="0" w:rightChars="0" w:firstLine="320" w:firstLineChars="1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三、支出决算情况说明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0" w:rightChars="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 xml:space="preserve"> 我部门2017年支出1793.16万元，其中行政运行1213.20万元，一般行政管理事务120万元，查办和预防职务犯罪197万元，侦查监督25万元，事业运行8.9万元，其他检察支出7.6万元，社会保障和就业支出177.96万元，住房保障支出43.50万元。2016年支出1191.7万元，2017年支出比2016年增加601.46万元。支出增加的主要原因：一是我部门2017年人员数量增加，行政运行中工资支出增加；二是随着办案业务量增加，办案业务支出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2017年预算支出1291.11元，决算比预算支出多502.05万元，主要原因是原因是</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办案业务支出增加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，人员正常工资调整。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Chars="200" w:right="0" w:rightChars="0" w:firstLine="320" w:firstLineChars="1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四、财政拨款收入支出决算总体情况说明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我部门2017年度财政拨款上年结转和结余0万元，财政拨款收入1793.16万元，财政拨款支出1793.16万元，年末结转和结余0万元。2017年财政拨款收</w:t>
      </w:r>
      <w:r>
        <w:rPr>
          <w:rFonts w:hint="eastAsia" w:asciiTheme="minorEastAsia" w:hAnsiTheme="minorEastAsia" w:cstheme="minorEastAsia"/>
          <w:b w:val="0"/>
          <w:i w:val="0"/>
          <w:caps w:val="0"/>
          <w:color w:val="3A3836"/>
          <w:spacing w:val="0"/>
          <w:kern w:val="0"/>
          <w:sz w:val="30"/>
          <w:szCs w:val="30"/>
          <w:shd w:val="clear" w:fill="FFFFFF"/>
          <w:lang w:val="en-US" w:eastAsia="zh-CN" w:bidi="ar"/>
        </w:rPr>
        <w:t>支决算数比</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2016年</w:t>
      </w:r>
      <w:r>
        <w:rPr>
          <w:rFonts w:hint="eastAsia" w:asciiTheme="minorEastAsia" w:hAnsiTheme="minorEastAsia" w:cstheme="minorEastAsia"/>
          <w:b w:val="0"/>
          <w:i w:val="0"/>
          <w:caps w:val="0"/>
          <w:color w:val="3A3836"/>
          <w:spacing w:val="0"/>
          <w:kern w:val="0"/>
          <w:sz w:val="30"/>
          <w:szCs w:val="30"/>
          <w:shd w:val="clear" w:fill="FFFFFF"/>
          <w:lang w:val="en-US" w:eastAsia="zh-CN" w:bidi="ar"/>
        </w:rPr>
        <w:t>决算数</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增加601.46万元。增加的主要原因：一是我部门2017年人员数量增加，行政运行中工资</w:t>
      </w:r>
      <w:r>
        <w:rPr>
          <w:rFonts w:hint="eastAsia" w:asciiTheme="minorEastAsia" w:hAnsiTheme="minorEastAsia" w:cstheme="minorEastAsia"/>
          <w:b w:val="0"/>
          <w:i w:val="0"/>
          <w:caps w:val="0"/>
          <w:color w:val="3A3836"/>
          <w:spacing w:val="0"/>
          <w:kern w:val="0"/>
          <w:sz w:val="30"/>
          <w:szCs w:val="30"/>
          <w:shd w:val="clear" w:fill="FFFFFF"/>
          <w:lang w:val="en-US" w:eastAsia="zh-CN" w:bidi="ar"/>
        </w:rPr>
        <w:t>收支</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增加；二是随着办案业务量增加，办案业务</w:t>
      </w:r>
      <w:r>
        <w:rPr>
          <w:rFonts w:hint="eastAsia" w:asciiTheme="minorEastAsia" w:hAnsiTheme="minorEastAsia" w:cstheme="minorEastAsia"/>
          <w:b w:val="0"/>
          <w:i w:val="0"/>
          <w:caps w:val="0"/>
          <w:color w:val="3A3836"/>
          <w:spacing w:val="0"/>
          <w:kern w:val="0"/>
          <w:sz w:val="30"/>
          <w:szCs w:val="30"/>
          <w:shd w:val="clear" w:fill="FFFFFF"/>
          <w:lang w:val="en-US" w:eastAsia="zh-CN" w:bidi="ar"/>
        </w:rPr>
        <w:t>收支</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2017年</w:t>
      </w:r>
      <w:r>
        <w:rPr>
          <w:rFonts w:hint="eastAsia" w:ascii="宋体" w:hAnsi="宋体" w:eastAsia="宋体" w:cs="宋体"/>
          <w:b w:val="0"/>
          <w:i w:val="0"/>
          <w:caps w:val="0"/>
          <w:color w:val="3A3836"/>
          <w:spacing w:val="0"/>
          <w:kern w:val="0"/>
          <w:sz w:val="32"/>
          <w:szCs w:val="32"/>
          <w:shd w:val="clear" w:fill="FFFFFF"/>
          <w:lang w:val="en-US" w:eastAsia="zh-CN" w:bidi="ar"/>
        </w:rPr>
        <w:t>财政拨款</w:t>
      </w:r>
      <w:r>
        <w:rPr>
          <w:rFonts w:hint="eastAsia" w:asciiTheme="minorEastAsia" w:hAnsiTheme="minorEastAsia" w:cstheme="minorEastAsia"/>
          <w:b w:val="0"/>
          <w:i w:val="0"/>
          <w:caps w:val="0"/>
          <w:color w:val="3A3836"/>
          <w:spacing w:val="0"/>
          <w:kern w:val="0"/>
          <w:sz w:val="30"/>
          <w:szCs w:val="30"/>
          <w:shd w:val="clear" w:fill="FFFFFF"/>
          <w:lang w:val="en-US" w:eastAsia="zh-CN" w:bidi="ar"/>
        </w:rPr>
        <w:t>收支预算数是1291.11元，2017年决算数比预算数多502.05万元，主要原因是司改实施经费增加、人员</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工资收入增加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以及人员正常工资调整。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Chars="200" w:right="0" w:rightChars="0" w:firstLine="320" w:firstLineChars="1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五、“三公经费”支出决算情况说明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我部门“三公经费”支出2017年决算数是13.98万元，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主要是</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公务用车运行费13.98万元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2017年预算数是14万元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“三公经费”2017年支出决算数比预算数减少0.02万元。2016年三公经费支出决算数是14.9万元，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2017年</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比2016年减少0.92万元。原因是我单位严格执行公务车使用管理制度，严格落实党政机关厉行节约条例等规定，节约开支，2017年“三公经费”支出决算数经过控制后减少。我部门公务用车原有23辆，现保有12辆，原因是公车改革，公务用车编制减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其中：1、公务用车购置费为零</w:t>
      </w:r>
      <w:r>
        <w:rPr>
          <w:rFonts w:hint="eastAsia" w:asciiTheme="minorEastAsia" w:hAnsiTheme="minorEastAsia" w:cstheme="minorEastAsia"/>
          <w:b w:val="0"/>
          <w:i w:val="0"/>
          <w:caps w:val="0"/>
          <w:color w:val="3A3836"/>
          <w:spacing w:val="0"/>
          <w:kern w:val="0"/>
          <w:sz w:val="30"/>
          <w:szCs w:val="30"/>
          <w:shd w:val="clear" w:fill="FFFFFF"/>
          <w:lang w:val="en-US" w:eastAsia="zh-CN" w:bidi="ar"/>
        </w:rPr>
        <w:t>，</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公务用车运行费13.98万元。2、因公出国（境）费为零。与2016年度决算数一致，主要是因为我院2017年度未进行此项费用安排。3、公务接待费为零</w:t>
      </w:r>
      <w:r>
        <w:rPr>
          <w:rFonts w:hint="eastAsia" w:asciiTheme="minorEastAsia" w:hAnsiTheme="minorEastAsia" w:cstheme="minorEastAsia"/>
          <w:b w:val="0"/>
          <w:i w:val="0"/>
          <w:caps w:val="0"/>
          <w:color w:val="3A3836"/>
          <w:spacing w:val="0"/>
          <w:kern w:val="0"/>
          <w:sz w:val="30"/>
          <w:szCs w:val="30"/>
          <w:shd w:val="clear" w:fill="FFFFFF"/>
          <w:lang w:val="en-US" w:eastAsia="zh-CN" w:bidi="ar"/>
        </w:rPr>
        <w:t>，</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与2016年度决算数一致，主要是因为我院2017年度未进行此项费用安排。2017年度本部门使用公共预算财政拨款支出的国内公务接待0批次，0次；因公出国组团人数及组团数为零。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Chars="200" w:right="0" w:rightChars="0" w:firstLine="320" w:firstLineChars="1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六、预算绩效管理工作开展情况说明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2017年度按照建立全面规范、公开透明的政府预算管理制度要求，我院形成了“预算编制有目标、预算执行有监控、预算完成有评价、评价结果有应用、 绩效缺失有问责” 的全过程绩效预算管理机制，我院预算支出管理较为规范，能按照有关规章制度开展工作。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2017年度检察监督，其中公诉和审判监督的公诉案件有罪判决率、公诉抗诉案件再审改变率、出庭意见采纳率、公诉案件结案率等均达到100%，评价标准为“优”。司法辅助:加强各项检察辅助职能，为检务提供有力保障，出警及时率达到100%。刑事执行监督:保障刑罚执行和刑事执行活动依法有序执行，被执行人及相关当事人对监督行为和效果满意度达到95%以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2017年检察综合事务管理中，技术科远程庭审系统及政法共享协同平台调试准确率达到100%；办公室收发传真文件，签收机要文件及时率达到100%；计财装备科做好201</w:t>
      </w:r>
      <w:r>
        <w:rPr>
          <w:rFonts w:hint="eastAsia" w:asciiTheme="minorEastAsia" w:hAnsiTheme="minorEastAsia" w:cstheme="minorEastAsia"/>
          <w:b w:val="0"/>
          <w:i w:val="0"/>
          <w:caps w:val="0"/>
          <w:color w:val="3A3836"/>
          <w:spacing w:val="0"/>
          <w:kern w:val="0"/>
          <w:sz w:val="30"/>
          <w:szCs w:val="30"/>
          <w:shd w:val="clear" w:fill="FFFFFF"/>
          <w:lang w:val="en-US" w:eastAsia="zh-CN" w:bidi="ar"/>
        </w:rPr>
        <w:t>7</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经费保障工作，经费拨付与支出，工资发放准确率达到100%；政治处做好“两微一端”及门户网站信息维护工作，其中，微信发布信息、微博发布信息、门户网站发布信息20条以上，新闻客户端发布信息10条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40" w:firstLineChars="2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七、其他重要事项的说明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0" w:rightChars="0" w:firstLine="600" w:firstLineChars="200"/>
        <w:jc w:val="both"/>
        <w:textAlignment w:val="auto"/>
        <w:outlineLvl w:val="9"/>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1、机关运行经费情况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本部门2017年度机关运行经费支出619.86万元，比上年增加316.98万元。主要原因是2017年包含了业务装备经费和办案业务支出增加。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2、政府采购情况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2017年，我部门无政府采购情况。</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国有资产占用情况</w:t>
      </w:r>
      <w:bookmarkStart w:id="1" w:name="_GoBack"/>
      <w:bookmarkEnd w:id="1"/>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我单位2017年末固定资产总值为454.68万元，比去年减少241.31万元，主要原因是进行了资产处置。固定资产中通用设备430.12万元，其中：汽车价值206.92万元；专用设备9.11万元；家具用具等15.45万元。公务用车原有23辆，现保有12辆，</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原因是</w:t>
      </w:r>
      <w:r>
        <w:rPr>
          <w:rFonts w:hint="eastAsia" w:asciiTheme="minorEastAsia" w:hAnsiTheme="minorEastAsia" w:cstheme="minorEastAsia"/>
          <w:b w:val="0"/>
          <w:i w:val="0"/>
          <w:caps w:val="0"/>
          <w:color w:val="3A3836"/>
          <w:spacing w:val="0"/>
          <w:kern w:val="0"/>
          <w:sz w:val="30"/>
          <w:szCs w:val="30"/>
          <w:shd w:val="clear" w:fill="FFFFFF"/>
          <w:lang w:val="en-US" w:eastAsia="zh-CN" w:bidi="ar"/>
        </w:rPr>
        <w:t>公车改革，公务用车编制减少。</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空表说明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0" w:rightChars="0" w:firstLine="600" w:firstLineChars="200"/>
        <w:jc w:val="left"/>
        <w:textAlignment w:val="auto"/>
        <w:outlineLvl w:val="9"/>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政府性基金预算财政拨款收入支出决算表、国有资本经营预算财政拨款收入支出决算表、政府采购情况表为空表，因我单位不涉及。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Theme="majorEastAsia" w:hAnsiTheme="majorEastAsia" w:eastAsiaTheme="majorEastAsia" w:cstheme="majorEastAsia"/>
          <w:b/>
          <w:bCs/>
          <w:i w:val="0"/>
          <w:caps w:val="0"/>
          <w:color w:val="3A3836"/>
          <w:spacing w:val="0"/>
          <w:sz w:val="32"/>
          <w:szCs w:val="32"/>
        </w:rPr>
      </w:pPr>
      <w:r>
        <w:rPr>
          <w:rFonts w:hint="eastAsia" w:asciiTheme="majorEastAsia" w:hAnsiTheme="majorEastAsia" w:eastAsiaTheme="majorEastAsia" w:cstheme="majorEastAsia"/>
          <w:b/>
          <w:bCs/>
          <w:i w:val="0"/>
          <w:caps w:val="0"/>
          <w:color w:val="3A3836"/>
          <w:spacing w:val="0"/>
          <w:kern w:val="0"/>
          <w:sz w:val="32"/>
          <w:szCs w:val="32"/>
          <w:shd w:val="clear" w:fill="FFFFFF"/>
          <w:lang w:val="en-US" w:eastAsia="zh-CN" w:bidi="ar"/>
        </w:rPr>
        <w:t>第四部分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35" w:lineRule="atLeast"/>
        <w:ind w:left="0" w:leftChars="0" w:right="0" w:rightChars="0" w:firstLine="600" w:firstLineChars="200"/>
        <w:textAlignment w:val="auto"/>
        <w:outlineLvl w:val="9"/>
        <w:rPr>
          <w:rFonts w:hint="eastAsia" w:ascii="宋体" w:hAnsi="宋体" w:eastAsia="宋体" w:cs="宋体"/>
          <w:b w:val="0"/>
          <w:i w:val="0"/>
          <w:caps w:val="0"/>
          <w:color w:val="3A3836"/>
          <w:spacing w:val="0"/>
          <w:sz w:val="24"/>
          <w:szCs w:val="24"/>
        </w:rPr>
      </w:pPr>
      <w:r>
        <w:rPr>
          <w:rFonts w:hint="eastAsia" w:ascii="宋体" w:hAnsi="宋体" w:eastAsia="宋体" w:cs="宋体"/>
          <w:b w:val="0"/>
          <w:i w:val="0"/>
          <w:caps w:val="0"/>
          <w:color w:val="3A3836"/>
          <w:spacing w:val="0"/>
          <w:sz w:val="30"/>
          <w:szCs w:val="30"/>
          <w:shd w:val="clear" w:fill="FFFFFF"/>
        </w:rPr>
        <w:t>一般公共预算财政拨款收入：指政府凭借国家</w:t>
      </w:r>
      <w:r>
        <w:rPr>
          <w:rFonts w:hint="eastAsia" w:ascii="宋体" w:hAnsi="宋体" w:eastAsia="宋体" w:cs="宋体"/>
          <w:b w:val="0"/>
          <w:i w:val="0"/>
          <w:caps w:val="0"/>
          <w:color w:val="800080"/>
          <w:spacing w:val="0"/>
          <w:sz w:val="30"/>
          <w:szCs w:val="30"/>
          <w:u w:val="single"/>
          <w:shd w:val="clear" w:fill="FFFFFF"/>
          <w:lang w:val="en-US"/>
        </w:rPr>
        <w:fldChar w:fldCharType="begin"/>
      </w:r>
      <w:r>
        <w:rPr>
          <w:rFonts w:hint="eastAsia" w:ascii="宋体" w:hAnsi="宋体" w:eastAsia="宋体" w:cs="宋体"/>
          <w:b w:val="0"/>
          <w:i w:val="0"/>
          <w:caps w:val="0"/>
          <w:color w:val="800080"/>
          <w:spacing w:val="0"/>
          <w:sz w:val="30"/>
          <w:szCs w:val="30"/>
          <w:u w:val="single"/>
          <w:shd w:val="clear" w:fill="FFFFFF"/>
          <w:lang w:val="en-US"/>
        </w:rPr>
        <w:instrText xml:space="preserve"> HYPERLINK "http://baike.sogou.com/lemma/ShowInnerLink.htm?lemmaId=506505" \t "http://www.hdfx.gov.cn/web/_blank" </w:instrText>
      </w:r>
      <w:r>
        <w:rPr>
          <w:rFonts w:hint="eastAsia" w:ascii="宋体" w:hAnsi="宋体" w:eastAsia="宋体" w:cs="宋体"/>
          <w:b w:val="0"/>
          <w:i w:val="0"/>
          <w:caps w:val="0"/>
          <w:color w:val="800080"/>
          <w:spacing w:val="0"/>
          <w:sz w:val="30"/>
          <w:szCs w:val="30"/>
          <w:u w:val="single"/>
          <w:shd w:val="clear" w:fill="FFFFFF"/>
          <w:lang w:val="en-US"/>
        </w:rPr>
        <w:fldChar w:fldCharType="separate"/>
      </w:r>
      <w:r>
        <w:rPr>
          <w:rStyle w:val="8"/>
          <w:rFonts w:hint="eastAsia" w:ascii="宋体" w:hAnsi="宋体" w:eastAsia="宋体" w:cs="宋体"/>
          <w:b w:val="0"/>
          <w:i w:val="0"/>
          <w:caps w:val="0"/>
          <w:color w:val="000000"/>
          <w:spacing w:val="0"/>
          <w:sz w:val="30"/>
          <w:szCs w:val="30"/>
          <w:u w:val="none"/>
          <w:shd w:val="clear" w:fill="FFFFFF"/>
          <w:lang w:val="en-US"/>
        </w:rPr>
        <w:t>政治权力</w:t>
      </w:r>
      <w:r>
        <w:rPr>
          <w:rFonts w:hint="eastAsia" w:ascii="宋体" w:hAnsi="宋体" w:eastAsia="宋体" w:cs="宋体"/>
          <w:b w:val="0"/>
          <w:i w:val="0"/>
          <w:caps w:val="0"/>
          <w:color w:val="800080"/>
          <w:spacing w:val="0"/>
          <w:sz w:val="30"/>
          <w:szCs w:val="30"/>
          <w:u w:val="single"/>
          <w:shd w:val="clear" w:fill="FFFFFF"/>
          <w:lang w:val="en-US"/>
        </w:rPr>
        <w:fldChar w:fldCharType="end"/>
      </w:r>
      <w:r>
        <w:rPr>
          <w:rFonts w:hint="eastAsia" w:ascii="宋体" w:hAnsi="宋体" w:eastAsia="宋体" w:cs="宋体"/>
          <w:b w:val="0"/>
          <w:i w:val="0"/>
          <w:caps w:val="0"/>
          <w:color w:val="3A3836"/>
          <w:spacing w:val="0"/>
          <w:sz w:val="30"/>
          <w:szCs w:val="30"/>
          <w:shd w:val="clear" w:fill="FFFFFF"/>
        </w:rPr>
        <w:t>，以社会管理者身份筹集以税收为主体的财政收入，主要用于保障和改善民生、维持国家行政职能正常运转、保障国家安全等方面。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default" w:ascii="Calibri" w:hAnsi="Calibri" w:cs="Calibri"/>
          <w:b w:val="0"/>
          <w:i w:val="0"/>
          <w:caps w:val="0"/>
          <w:color w:val="3A3836"/>
          <w:spacing w:val="0"/>
          <w:sz w:val="21"/>
          <w:szCs w:val="21"/>
        </w:rPr>
      </w:pPr>
      <w:r>
        <w:rPr>
          <w:rFonts w:hint="eastAsia" w:ascii="宋体" w:hAnsi="宋体" w:eastAsia="宋体" w:cs="宋体"/>
          <w:b w:val="0"/>
          <w:i w:val="0"/>
          <w:caps w:val="0"/>
          <w:color w:val="3A3836"/>
          <w:spacing w:val="0"/>
          <w:kern w:val="0"/>
          <w:sz w:val="30"/>
          <w:szCs w:val="30"/>
          <w:shd w:val="clear" w:fill="FFFFFF"/>
          <w:lang w:val="en-US" w:eastAsia="zh-CN" w:bidi="ar"/>
        </w:rPr>
        <w:t>事业收入：指事业单位开展专业业务活动及辅助活动所取得的收入。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default" w:ascii="Calibri" w:hAnsi="Calibri" w:cs="Calibri"/>
          <w:b w:val="0"/>
          <w:i w:val="0"/>
          <w:caps w:val="0"/>
          <w:color w:val="3A3836"/>
          <w:spacing w:val="0"/>
          <w:sz w:val="21"/>
          <w:szCs w:val="21"/>
        </w:rPr>
      </w:pPr>
      <w:r>
        <w:rPr>
          <w:rFonts w:hint="eastAsia" w:ascii="宋体" w:hAnsi="宋体" w:eastAsia="宋体" w:cs="宋体"/>
          <w:b w:val="0"/>
          <w:i w:val="0"/>
          <w:caps w:val="0"/>
          <w:color w:val="3A3836"/>
          <w:spacing w:val="0"/>
          <w:kern w:val="0"/>
          <w:sz w:val="30"/>
          <w:szCs w:val="30"/>
          <w:shd w:val="clear" w:fill="FFFFFF"/>
          <w:lang w:val="en-US" w:eastAsia="zh-CN" w:bidi="ar"/>
        </w:rPr>
        <w:t>基本支出：是部门支出预算的组成部分</w:t>
      </w:r>
      <w:r>
        <w:rPr>
          <w:rFonts w:ascii="Arial" w:hAnsi="Arial" w:cs="Arial" w:eastAsiaTheme="minorEastAsia"/>
          <w:b w:val="0"/>
          <w:i w:val="0"/>
          <w:caps w:val="0"/>
          <w:color w:val="3A3836"/>
          <w:spacing w:val="0"/>
          <w:kern w:val="0"/>
          <w:sz w:val="30"/>
          <w:szCs w:val="30"/>
          <w:shd w:val="clear" w:fill="FFFFFF"/>
          <w:lang w:val="en-US" w:eastAsia="zh-CN" w:bidi="ar"/>
        </w:rPr>
        <w:t>,</w:t>
      </w:r>
      <w:r>
        <w:rPr>
          <w:rFonts w:hint="eastAsia" w:ascii="宋体" w:hAnsi="宋体" w:eastAsia="宋体" w:cs="宋体"/>
          <w:b w:val="0"/>
          <w:i w:val="0"/>
          <w:caps w:val="0"/>
          <w:color w:val="3A3836"/>
          <w:spacing w:val="0"/>
          <w:kern w:val="0"/>
          <w:sz w:val="30"/>
          <w:szCs w:val="30"/>
          <w:shd w:val="clear" w:fill="FFFFFF"/>
          <w:lang w:val="en-US" w:eastAsia="zh-CN" w:bidi="ar"/>
        </w:rPr>
        <w:t>是行政事业单位为保障其机构正常运转、完成日常工作任务而编制的年度</w:t>
      </w:r>
      <w:r>
        <w:rPr>
          <w:rStyle w:val="7"/>
          <w:rFonts w:hint="eastAsia" w:ascii="宋体" w:hAnsi="宋体" w:eastAsia="宋体" w:cs="宋体"/>
          <w:b w:val="0"/>
          <w:i w:val="0"/>
          <w:caps w:val="0"/>
          <w:color w:val="3A3836"/>
          <w:spacing w:val="0"/>
          <w:kern w:val="0"/>
          <w:sz w:val="30"/>
          <w:szCs w:val="30"/>
          <w:shd w:val="clear" w:fill="FFFFFF"/>
          <w:lang w:val="en-US" w:eastAsia="zh-CN" w:bidi="ar"/>
        </w:rPr>
        <w:t>基本支出</w:t>
      </w:r>
      <w:r>
        <w:rPr>
          <w:rFonts w:hint="eastAsia" w:ascii="宋体" w:hAnsi="宋体" w:eastAsia="宋体" w:cs="宋体"/>
          <w:b w:val="0"/>
          <w:i w:val="0"/>
          <w:caps w:val="0"/>
          <w:color w:val="3A3836"/>
          <w:spacing w:val="0"/>
          <w:kern w:val="0"/>
          <w:sz w:val="30"/>
          <w:szCs w:val="30"/>
          <w:shd w:val="clear" w:fill="FFFFFF"/>
          <w:lang w:val="en-US" w:eastAsia="zh-CN" w:bidi="ar"/>
        </w:rPr>
        <w:t>计划</w:t>
      </w:r>
      <w:r>
        <w:rPr>
          <w:rFonts w:hint="default" w:ascii="Arial" w:hAnsi="Arial" w:cs="Arial" w:eastAsiaTheme="minorEastAsia"/>
          <w:b w:val="0"/>
          <w:i w:val="0"/>
          <w:caps w:val="0"/>
          <w:color w:val="3A3836"/>
          <w:spacing w:val="0"/>
          <w:kern w:val="0"/>
          <w:sz w:val="30"/>
          <w:szCs w:val="30"/>
          <w:shd w:val="clear" w:fill="FFFFFF"/>
          <w:lang w:val="en-US" w:eastAsia="zh-CN" w:bidi="ar"/>
        </w:rPr>
        <w:t>,</w:t>
      </w:r>
      <w:r>
        <w:rPr>
          <w:rFonts w:hint="eastAsia" w:ascii="宋体" w:hAnsi="宋体" w:eastAsia="宋体" w:cs="宋体"/>
          <w:b w:val="0"/>
          <w:i w:val="0"/>
          <w:caps w:val="0"/>
          <w:color w:val="3A3836"/>
          <w:spacing w:val="0"/>
          <w:kern w:val="0"/>
          <w:sz w:val="30"/>
          <w:szCs w:val="30"/>
          <w:shd w:val="clear" w:fill="FFFFFF"/>
          <w:lang w:val="en-US" w:eastAsia="zh-CN" w:bidi="ar"/>
        </w:rPr>
        <w:t>其内容包括人员经费和日常公用经费两部分。各部门要根据国家现有的经费政策和规定测算本部门的人员经费和公用经费</w:t>
      </w:r>
      <w:r>
        <w:rPr>
          <w:rFonts w:hint="default" w:ascii="Arial" w:hAnsi="Arial" w:cs="Arial" w:eastAsiaTheme="minorEastAsia"/>
          <w:b w:val="0"/>
          <w:i w:val="0"/>
          <w:caps w:val="0"/>
          <w:color w:val="3A3836"/>
          <w:spacing w:val="0"/>
          <w:kern w:val="0"/>
          <w:sz w:val="30"/>
          <w:szCs w:val="30"/>
          <w:shd w:val="clear" w:fill="FFFFFF"/>
          <w:lang w:val="en-US" w:eastAsia="zh-CN" w:bidi="ar"/>
        </w:rPr>
        <w:t> </w:t>
      </w:r>
      <w:r>
        <w:rPr>
          <w:rFonts w:hint="eastAsia" w:ascii="宋体" w:hAnsi="宋体" w:eastAsia="宋体" w:cs="宋体"/>
          <w:b w:val="0"/>
          <w:i w:val="0"/>
          <w:caps w:val="0"/>
          <w:color w:val="3A3836"/>
          <w:spacing w:val="0"/>
          <w:kern w:val="0"/>
          <w:sz w:val="30"/>
          <w:szCs w:val="30"/>
          <w:shd w:val="clear" w:fill="FFFFFF"/>
          <w:lang w:val="en-US" w:eastAsia="zh-CN" w:bidi="ar"/>
        </w:rPr>
        <w:t>要按照预算年度所有因素和事项</w:t>
      </w:r>
      <w:r>
        <w:rPr>
          <w:rFonts w:hint="default" w:ascii="Arial" w:hAnsi="Arial" w:cs="Arial" w:eastAsiaTheme="minorEastAsia"/>
          <w:b w:val="0"/>
          <w:i w:val="0"/>
          <w:caps w:val="0"/>
          <w:color w:val="3A3836"/>
          <w:spacing w:val="0"/>
          <w:kern w:val="0"/>
          <w:sz w:val="30"/>
          <w:szCs w:val="30"/>
          <w:shd w:val="clear" w:fill="FFFFFF"/>
          <w:lang w:val="en-US" w:eastAsia="zh-CN" w:bidi="ar"/>
        </w:rPr>
        <w:t>,</w:t>
      </w:r>
      <w:r>
        <w:rPr>
          <w:rFonts w:hint="eastAsia" w:ascii="宋体" w:hAnsi="宋体" w:eastAsia="宋体" w:cs="宋体"/>
          <w:b w:val="0"/>
          <w:i w:val="0"/>
          <w:caps w:val="0"/>
          <w:color w:val="3A3836"/>
          <w:spacing w:val="0"/>
          <w:kern w:val="0"/>
          <w:sz w:val="30"/>
          <w:szCs w:val="30"/>
          <w:shd w:val="clear" w:fill="FFFFFF"/>
          <w:lang w:val="en-US" w:eastAsia="zh-CN" w:bidi="ar"/>
        </w:rPr>
        <w:t>分别轻重缓急测算每一级科目支出需求。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default" w:ascii="Calibri" w:hAnsi="Calibri" w:cs="Calibri"/>
          <w:b w:val="0"/>
          <w:i w:val="0"/>
          <w:caps w:val="0"/>
          <w:color w:val="3A3836"/>
          <w:spacing w:val="0"/>
          <w:sz w:val="21"/>
          <w:szCs w:val="21"/>
        </w:rPr>
      </w:pPr>
      <w:r>
        <w:rPr>
          <w:rFonts w:hint="eastAsia" w:ascii="宋体" w:hAnsi="宋体" w:eastAsia="宋体" w:cs="宋体"/>
          <w:b w:val="0"/>
          <w:i w:val="0"/>
          <w:caps w:val="0"/>
          <w:color w:val="3A3836"/>
          <w:spacing w:val="0"/>
          <w:kern w:val="0"/>
          <w:sz w:val="30"/>
          <w:szCs w:val="30"/>
          <w:shd w:val="clear" w:fill="FFFFFF"/>
          <w:lang w:val="en-US" w:eastAsia="zh-CN" w:bidi="ar"/>
        </w:rPr>
        <w:t>项目支出：是行政单位为完成特定的工作任务或事业发展目标</w:t>
      </w:r>
      <w:r>
        <w:rPr>
          <w:rFonts w:hint="default" w:ascii="Arial" w:hAnsi="Arial" w:cs="Arial" w:eastAsiaTheme="minorEastAsia"/>
          <w:b w:val="0"/>
          <w:i w:val="0"/>
          <w:caps w:val="0"/>
          <w:color w:val="3A3836"/>
          <w:spacing w:val="0"/>
          <w:kern w:val="0"/>
          <w:sz w:val="30"/>
          <w:szCs w:val="30"/>
          <w:shd w:val="clear" w:fill="FFFFFF"/>
          <w:lang w:val="en-US" w:eastAsia="zh-CN" w:bidi="ar"/>
        </w:rPr>
        <w:t>,</w:t>
      </w:r>
      <w:r>
        <w:rPr>
          <w:rFonts w:hint="eastAsia" w:ascii="宋体" w:hAnsi="宋体" w:eastAsia="宋体" w:cs="宋体"/>
          <w:b w:val="0"/>
          <w:i w:val="0"/>
          <w:caps w:val="0"/>
          <w:color w:val="3A3836"/>
          <w:spacing w:val="0"/>
          <w:kern w:val="0"/>
          <w:sz w:val="30"/>
          <w:szCs w:val="30"/>
          <w:shd w:val="clear" w:fill="FFFFFF"/>
          <w:lang w:val="en-US" w:eastAsia="zh-CN" w:bidi="ar"/>
        </w:rPr>
        <w:t>在基本的预算支出以外</w:t>
      </w:r>
      <w:r>
        <w:rPr>
          <w:rFonts w:hint="default" w:ascii="Arial" w:hAnsi="Arial" w:cs="Arial" w:eastAsiaTheme="minorEastAsia"/>
          <w:b w:val="0"/>
          <w:i w:val="0"/>
          <w:caps w:val="0"/>
          <w:color w:val="3A3836"/>
          <w:spacing w:val="0"/>
          <w:kern w:val="0"/>
          <w:sz w:val="30"/>
          <w:szCs w:val="30"/>
          <w:shd w:val="clear" w:fill="FFFFFF"/>
          <w:lang w:val="en-US" w:eastAsia="zh-CN" w:bidi="ar"/>
        </w:rPr>
        <w:t>,</w:t>
      </w:r>
      <w:r>
        <w:rPr>
          <w:rFonts w:hint="eastAsia" w:ascii="宋体" w:hAnsi="宋体" w:eastAsia="宋体" w:cs="宋体"/>
          <w:b w:val="0"/>
          <w:i w:val="0"/>
          <w:caps w:val="0"/>
          <w:color w:val="3A3836"/>
          <w:spacing w:val="0"/>
          <w:kern w:val="0"/>
          <w:sz w:val="30"/>
          <w:szCs w:val="30"/>
          <w:shd w:val="clear" w:fill="FFFFFF"/>
          <w:lang w:val="en-US" w:eastAsia="zh-CN" w:bidi="ar"/>
        </w:rPr>
        <w:t>财政预算专款安排的支出。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9300" w:right="0" w:hanging="9300" w:hangingChars="3100"/>
        <w:jc w:val="left"/>
        <w:rPr>
          <w:rFonts w:hint="default" w:ascii="Calibri" w:hAnsi="Calibri" w:cs="Calibri"/>
          <w:b w:val="0"/>
          <w:i w:val="0"/>
          <w:caps w:val="0"/>
          <w:color w:val="3A3836"/>
          <w:spacing w:val="0"/>
          <w:sz w:val="30"/>
          <w:szCs w:val="30"/>
        </w:rPr>
      </w:pPr>
      <w:r>
        <w:rPr>
          <w:rFonts w:hint="default" w:ascii="Arial" w:hAnsi="Arial" w:cs="Arial" w:eastAsiaTheme="minorEastAsia"/>
          <w:b w:val="0"/>
          <w:i w:val="0"/>
          <w:caps w:val="0"/>
          <w:color w:val="3A3836"/>
          <w:spacing w:val="0"/>
          <w:kern w:val="0"/>
          <w:sz w:val="30"/>
          <w:szCs w:val="30"/>
          <w:shd w:val="clear" w:fill="FFFFFF"/>
          <w:lang w:val="en-US" w:eastAsia="zh-CN" w:bidi="ar"/>
        </w:rPr>
        <w:t> </w:t>
      </w:r>
      <w:r>
        <w:rPr>
          <w:rFonts w:hint="eastAsia" w:ascii="Arial" w:hAnsi="Arial" w:cs="Arial"/>
          <w:b w:val="0"/>
          <w:i w:val="0"/>
          <w:caps w:val="0"/>
          <w:color w:val="3A3836"/>
          <w:spacing w:val="0"/>
          <w:kern w:val="0"/>
          <w:sz w:val="30"/>
          <w:szCs w:val="30"/>
          <w:shd w:val="clear" w:fill="FFFFFF"/>
          <w:lang w:val="en-US" w:eastAsia="zh-CN" w:bidi="ar"/>
        </w:rPr>
        <w:t xml:space="preserve">                                                             </w:t>
      </w:r>
      <w:r>
        <w:rPr>
          <w:rFonts w:hint="eastAsia" w:ascii="宋体" w:hAnsi="宋体" w:eastAsia="宋体" w:cs="宋体"/>
          <w:b w:val="0"/>
          <w:i w:val="0"/>
          <w:caps w:val="0"/>
          <w:color w:val="3A3836"/>
          <w:spacing w:val="0"/>
          <w:kern w:val="0"/>
          <w:sz w:val="30"/>
          <w:szCs w:val="30"/>
          <w:shd w:val="clear" w:fill="FFFFFF"/>
          <w:lang w:val="en-US" w:eastAsia="zh-CN" w:bidi="ar"/>
        </w:rPr>
        <w:t>复兴区人民检察院                                                                                                  2019年1月3日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Calibri" w:hAnsi="Calibri" w:cs="Calibri"/>
          <w:b w:val="0"/>
          <w:i w:val="0"/>
          <w:caps w:val="0"/>
          <w:color w:val="3A3836"/>
          <w:spacing w:val="0"/>
          <w:sz w:val="21"/>
          <w:szCs w:val="21"/>
        </w:rPr>
      </w:pPr>
      <w:r>
        <w:rPr>
          <w:rFonts w:hint="eastAsia" w:ascii="宋体" w:hAnsi="宋体" w:eastAsia="宋体" w:cs="宋体"/>
          <w:b w:val="0"/>
          <w:i w:val="0"/>
          <w:caps w:val="0"/>
          <w:color w:val="3A3836"/>
          <w:spacing w:val="0"/>
          <w:kern w:val="0"/>
          <w:sz w:val="18"/>
          <w:szCs w:val="18"/>
          <w:shd w:val="clear" w:fill="FFFFFF"/>
          <w:lang w:val="en-US" w:eastAsia="zh-CN" w:bidi="ar"/>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A03F"/>
    <w:multiLevelType w:val="singleLevel"/>
    <w:tmpl w:val="5A02A03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3644A"/>
    <w:rsid w:val="01CD3245"/>
    <w:rsid w:val="01D22426"/>
    <w:rsid w:val="01E10243"/>
    <w:rsid w:val="028C0EF0"/>
    <w:rsid w:val="0434016B"/>
    <w:rsid w:val="04CF46A5"/>
    <w:rsid w:val="053B340F"/>
    <w:rsid w:val="056210C1"/>
    <w:rsid w:val="06233C62"/>
    <w:rsid w:val="064056FC"/>
    <w:rsid w:val="06D92ABD"/>
    <w:rsid w:val="073F18C6"/>
    <w:rsid w:val="08147A8E"/>
    <w:rsid w:val="087911AB"/>
    <w:rsid w:val="09564D66"/>
    <w:rsid w:val="0B23481B"/>
    <w:rsid w:val="0CE83935"/>
    <w:rsid w:val="0EBA27CC"/>
    <w:rsid w:val="0FDB17D5"/>
    <w:rsid w:val="0FE80616"/>
    <w:rsid w:val="10A16973"/>
    <w:rsid w:val="10BF1634"/>
    <w:rsid w:val="10C07683"/>
    <w:rsid w:val="110638E4"/>
    <w:rsid w:val="112A6984"/>
    <w:rsid w:val="11C112B5"/>
    <w:rsid w:val="11EF205C"/>
    <w:rsid w:val="12964F55"/>
    <w:rsid w:val="14003F52"/>
    <w:rsid w:val="14733853"/>
    <w:rsid w:val="14A4573D"/>
    <w:rsid w:val="14E93DFD"/>
    <w:rsid w:val="15166489"/>
    <w:rsid w:val="15200631"/>
    <w:rsid w:val="153B28CE"/>
    <w:rsid w:val="15B061D8"/>
    <w:rsid w:val="15D46AAD"/>
    <w:rsid w:val="16D8018D"/>
    <w:rsid w:val="171E7EB8"/>
    <w:rsid w:val="17911DD6"/>
    <w:rsid w:val="17BC02FB"/>
    <w:rsid w:val="185C2681"/>
    <w:rsid w:val="18F7066E"/>
    <w:rsid w:val="19124CE1"/>
    <w:rsid w:val="19927DB7"/>
    <w:rsid w:val="1AA83379"/>
    <w:rsid w:val="1D715C2B"/>
    <w:rsid w:val="1E711544"/>
    <w:rsid w:val="1ECE3118"/>
    <w:rsid w:val="1F482015"/>
    <w:rsid w:val="20247161"/>
    <w:rsid w:val="20965910"/>
    <w:rsid w:val="21985ECA"/>
    <w:rsid w:val="222E1B09"/>
    <w:rsid w:val="22747D3E"/>
    <w:rsid w:val="2276315F"/>
    <w:rsid w:val="227914E1"/>
    <w:rsid w:val="247A0E0E"/>
    <w:rsid w:val="25203FCF"/>
    <w:rsid w:val="252F4D02"/>
    <w:rsid w:val="255674A1"/>
    <w:rsid w:val="25B463ED"/>
    <w:rsid w:val="25C666BA"/>
    <w:rsid w:val="263F1AAB"/>
    <w:rsid w:val="274849E4"/>
    <w:rsid w:val="27E5538F"/>
    <w:rsid w:val="282270FF"/>
    <w:rsid w:val="293768BC"/>
    <w:rsid w:val="2A2652D7"/>
    <w:rsid w:val="2A9B5363"/>
    <w:rsid w:val="2B15464A"/>
    <w:rsid w:val="2BCA4B1A"/>
    <w:rsid w:val="2BE60CDE"/>
    <w:rsid w:val="2D1367A5"/>
    <w:rsid w:val="2D3D4C58"/>
    <w:rsid w:val="2E051B96"/>
    <w:rsid w:val="2E6D5892"/>
    <w:rsid w:val="2FAE2584"/>
    <w:rsid w:val="304400DC"/>
    <w:rsid w:val="30496BC6"/>
    <w:rsid w:val="31451E34"/>
    <w:rsid w:val="319D473A"/>
    <w:rsid w:val="3206091B"/>
    <w:rsid w:val="320B12C0"/>
    <w:rsid w:val="3244760C"/>
    <w:rsid w:val="32BA7B7D"/>
    <w:rsid w:val="33337BDB"/>
    <w:rsid w:val="33892B04"/>
    <w:rsid w:val="33E249E2"/>
    <w:rsid w:val="343848FE"/>
    <w:rsid w:val="346E2BD1"/>
    <w:rsid w:val="35086831"/>
    <w:rsid w:val="35211C49"/>
    <w:rsid w:val="359D7955"/>
    <w:rsid w:val="35D517E0"/>
    <w:rsid w:val="360D37CA"/>
    <w:rsid w:val="37172F1E"/>
    <w:rsid w:val="37350A64"/>
    <w:rsid w:val="37D25D1F"/>
    <w:rsid w:val="392C2198"/>
    <w:rsid w:val="3A623815"/>
    <w:rsid w:val="3ABA3435"/>
    <w:rsid w:val="3ABE06B0"/>
    <w:rsid w:val="3BEC2CA1"/>
    <w:rsid w:val="3C64382A"/>
    <w:rsid w:val="3D1879DA"/>
    <w:rsid w:val="3D305765"/>
    <w:rsid w:val="3DC154F2"/>
    <w:rsid w:val="3DF53076"/>
    <w:rsid w:val="3E48570A"/>
    <w:rsid w:val="3E8C1139"/>
    <w:rsid w:val="3EB4529A"/>
    <w:rsid w:val="3F23680F"/>
    <w:rsid w:val="3F580135"/>
    <w:rsid w:val="3FED26B7"/>
    <w:rsid w:val="40B732AD"/>
    <w:rsid w:val="40D70F6E"/>
    <w:rsid w:val="412C6AFA"/>
    <w:rsid w:val="4177020A"/>
    <w:rsid w:val="421C6BFC"/>
    <w:rsid w:val="429135A4"/>
    <w:rsid w:val="4340127A"/>
    <w:rsid w:val="43CB0E95"/>
    <w:rsid w:val="448657A6"/>
    <w:rsid w:val="44DC38EC"/>
    <w:rsid w:val="45985638"/>
    <w:rsid w:val="470261D1"/>
    <w:rsid w:val="477F7AEC"/>
    <w:rsid w:val="47C713C9"/>
    <w:rsid w:val="47E7180A"/>
    <w:rsid w:val="48C11A8F"/>
    <w:rsid w:val="48DC0F1A"/>
    <w:rsid w:val="49DD05AD"/>
    <w:rsid w:val="4A4C3A66"/>
    <w:rsid w:val="4A50176C"/>
    <w:rsid w:val="4ABF69D3"/>
    <w:rsid w:val="4B567B2B"/>
    <w:rsid w:val="4C2E28B4"/>
    <w:rsid w:val="4C42391E"/>
    <w:rsid w:val="4CA7334C"/>
    <w:rsid w:val="4CBE33D2"/>
    <w:rsid w:val="4EBF7402"/>
    <w:rsid w:val="4F126B24"/>
    <w:rsid w:val="4F465E26"/>
    <w:rsid w:val="4F9F4D87"/>
    <w:rsid w:val="50201522"/>
    <w:rsid w:val="528C73ED"/>
    <w:rsid w:val="529E7C4E"/>
    <w:rsid w:val="52D31589"/>
    <w:rsid w:val="53040B9A"/>
    <w:rsid w:val="54774786"/>
    <w:rsid w:val="55461CEA"/>
    <w:rsid w:val="564A2FA9"/>
    <w:rsid w:val="570A55CA"/>
    <w:rsid w:val="574F583F"/>
    <w:rsid w:val="57570EAA"/>
    <w:rsid w:val="58232B59"/>
    <w:rsid w:val="58CE6F56"/>
    <w:rsid w:val="596A0FEF"/>
    <w:rsid w:val="59805C16"/>
    <w:rsid w:val="5A653C51"/>
    <w:rsid w:val="5A7A3534"/>
    <w:rsid w:val="5A826281"/>
    <w:rsid w:val="5A857124"/>
    <w:rsid w:val="5B0C69BE"/>
    <w:rsid w:val="5B597722"/>
    <w:rsid w:val="5BF566EA"/>
    <w:rsid w:val="5BFE4391"/>
    <w:rsid w:val="5C715C8A"/>
    <w:rsid w:val="5C9B679A"/>
    <w:rsid w:val="5D673338"/>
    <w:rsid w:val="5DA624D9"/>
    <w:rsid w:val="5DC509A8"/>
    <w:rsid w:val="5E28206F"/>
    <w:rsid w:val="5E4161E0"/>
    <w:rsid w:val="5E954207"/>
    <w:rsid w:val="5F3641F3"/>
    <w:rsid w:val="604341B4"/>
    <w:rsid w:val="605B6F62"/>
    <w:rsid w:val="60FA3573"/>
    <w:rsid w:val="61696D4B"/>
    <w:rsid w:val="61883207"/>
    <w:rsid w:val="62424944"/>
    <w:rsid w:val="629A3570"/>
    <w:rsid w:val="63575EDB"/>
    <w:rsid w:val="64281444"/>
    <w:rsid w:val="642F7CCC"/>
    <w:rsid w:val="64870CAA"/>
    <w:rsid w:val="67192D4B"/>
    <w:rsid w:val="673240A3"/>
    <w:rsid w:val="678C391B"/>
    <w:rsid w:val="67DE0A55"/>
    <w:rsid w:val="682A6886"/>
    <w:rsid w:val="6A5B398E"/>
    <w:rsid w:val="6B553776"/>
    <w:rsid w:val="6B936ECD"/>
    <w:rsid w:val="6C587369"/>
    <w:rsid w:val="6CA21199"/>
    <w:rsid w:val="6D0C0D3A"/>
    <w:rsid w:val="6D3F0805"/>
    <w:rsid w:val="6E6E1EF5"/>
    <w:rsid w:val="6F035480"/>
    <w:rsid w:val="6F5D2182"/>
    <w:rsid w:val="6FE6753D"/>
    <w:rsid w:val="71197F14"/>
    <w:rsid w:val="71A26049"/>
    <w:rsid w:val="729B4194"/>
    <w:rsid w:val="744E5682"/>
    <w:rsid w:val="747500E1"/>
    <w:rsid w:val="74C66507"/>
    <w:rsid w:val="75071602"/>
    <w:rsid w:val="757F7107"/>
    <w:rsid w:val="769564AE"/>
    <w:rsid w:val="771474EE"/>
    <w:rsid w:val="772B6CFB"/>
    <w:rsid w:val="78127931"/>
    <w:rsid w:val="78F94834"/>
    <w:rsid w:val="79407664"/>
    <w:rsid w:val="79693FB0"/>
    <w:rsid w:val="79894226"/>
    <w:rsid w:val="798C2928"/>
    <w:rsid w:val="7AA9126F"/>
    <w:rsid w:val="7B37699C"/>
    <w:rsid w:val="7C2F0C83"/>
    <w:rsid w:val="7CBC6A69"/>
    <w:rsid w:val="7DE67BB4"/>
    <w:rsid w:val="7DEC2065"/>
    <w:rsid w:val="7E2604D8"/>
    <w:rsid w:val="7E463C33"/>
    <w:rsid w:val="7EE14DD6"/>
    <w:rsid w:val="7F68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sz w:val="32"/>
      <w:szCs w:val="32"/>
      <w:lang w:eastAsia="en-US"/>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2019-03-11T01:12:53Z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