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s="黑体"/>
          <w:sz w:val="36"/>
          <w:szCs w:val="36"/>
        </w:rPr>
      </w:pPr>
      <w:r>
        <w:rPr>
          <w:rFonts w:ascii="方正小标宋简体" w:hAnsi="黑体" w:eastAsia="方正小标宋简体"/>
          <w:sz w:val="36"/>
          <w:szCs w:val="36"/>
        </w:rPr>
        <w:t xml:space="preserve"> </w:t>
      </w:r>
      <w:r>
        <w:rPr>
          <w:rFonts w:ascii="方正小标宋简体" w:hAnsi="黑体" w:eastAsia="方正小标宋简体"/>
          <w:sz w:val="32"/>
          <w:szCs w:val="32"/>
        </w:rPr>
        <w:t xml:space="preserve"> </w:t>
      </w:r>
      <w:r>
        <w:rPr>
          <w:rFonts w:ascii="黑体" w:hAnsi="黑体" w:eastAsia="黑体" w:cs="黑体"/>
          <w:sz w:val="32"/>
          <w:szCs w:val="32"/>
        </w:rPr>
        <w:t xml:space="preserve"> </w:t>
      </w:r>
      <w:r>
        <w:rPr>
          <w:rFonts w:hint="eastAsia" w:ascii="黑体" w:hAnsi="黑体" w:eastAsia="黑体" w:cs="黑体"/>
          <w:sz w:val="36"/>
          <w:szCs w:val="36"/>
        </w:rPr>
        <w:t>邯郸市复兴区人民检察院</w:t>
      </w:r>
    </w:p>
    <w:p>
      <w:pPr>
        <w:spacing w:line="560" w:lineRule="exact"/>
        <w:jc w:val="center"/>
        <w:rPr>
          <w:rFonts w:ascii="黑体" w:hAnsi="黑体" w:eastAsia="黑体" w:cs="黑体"/>
          <w:sz w:val="36"/>
          <w:szCs w:val="36"/>
        </w:rPr>
      </w:pPr>
      <w:r>
        <w:rPr>
          <w:rFonts w:ascii="黑体" w:hAnsi="黑体" w:eastAsia="黑体" w:cs="黑体"/>
          <w:sz w:val="36"/>
          <w:szCs w:val="36"/>
        </w:rPr>
        <w:t xml:space="preserve">  </w:t>
      </w:r>
      <w:r>
        <w:rPr>
          <w:rFonts w:hint="eastAsia" w:ascii="黑体" w:hAnsi="黑体" w:eastAsia="黑体" w:cs="黑体"/>
          <w:sz w:val="36"/>
          <w:szCs w:val="36"/>
          <w:lang w:eastAsia="zh-CN"/>
        </w:rPr>
        <w:t>2019</w:t>
      </w:r>
      <w:r>
        <w:rPr>
          <w:rFonts w:hint="eastAsia" w:ascii="黑体" w:hAnsi="黑体" w:eastAsia="黑体" w:cs="黑体"/>
          <w:sz w:val="36"/>
          <w:szCs w:val="36"/>
        </w:rPr>
        <w:t>年部门预算公开情况说明</w:t>
      </w:r>
    </w:p>
    <w:p>
      <w:pPr>
        <w:ind w:firstLine="640"/>
        <w:rPr>
          <w:rFonts w:ascii="黑体" w:hAnsi="黑体" w:eastAsia="黑体"/>
          <w:sz w:val="32"/>
          <w:szCs w:val="32"/>
        </w:rPr>
      </w:pPr>
    </w:p>
    <w:p>
      <w:pPr>
        <w:ind w:firstLine="640"/>
        <w:rPr>
          <w:rFonts w:ascii="黑体" w:hAnsi="黑体" w:eastAsia="黑体" w:cs="黑体"/>
          <w:sz w:val="32"/>
          <w:szCs w:val="32"/>
        </w:rPr>
      </w:pPr>
      <w:r>
        <w:rPr>
          <w:rFonts w:hint="eastAsia" w:ascii="黑体" w:hAnsi="黑体" w:eastAsia="黑体" w:cs="黑体"/>
          <w:sz w:val="32"/>
          <w:szCs w:val="32"/>
        </w:rPr>
        <w:t>一、部门职责及机构设置情况</w:t>
      </w:r>
    </w:p>
    <w:p>
      <w:pPr>
        <w:widowControl/>
        <w:ind w:firstLine="640"/>
        <w:jc w:val="left"/>
        <w:rPr>
          <w:rFonts w:ascii="仿宋" w:hAnsi="仿宋" w:eastAsia="仿宋" w:cs="仿宋"/>
          <w:sz w:val="32"/>
          <w:szCs w:val="32"/>
        </w:rPr>
      </w:pPr>
      <w:r>
        <w:rPr>
          <w:rFonts w:hint="eastAsia" w:ascii="楷体" w:hAnsi="楷体" w:eastAsia="楷体" w:cs="楷体"/>
          <w:b/>
          <w:sz w:val="32"/>
          <w:szCs w:val="32"/>
        </w:rPr>
        <w:t>部门职责</w:t>
      </w:r>
      <w:r>
        <w:rPr>
          <w:rFonts w:hint="eastAsia" w:ascii="仿宋" w:hAnsi="仿宋" w:eastAsia="仿宋" w:cs="仿宋"/>
          <w:b/>
          <w:sz w:val="32"/>
          <w:szCs w:val="32"/>
        </w:rPr>
        <w:t>：</w:t>
      </w:r>
      <w:r>
        <w:rPr>
          <w:rFonts w:hint="eastAsia" w:ascii="仿宋" w:hAnsi="仿宋" w:eastAsia="仿宋" w:cs="仿宋"/>
          <w:kern w:val="0"/>
          <w:sz w:val="32"/>
          <w:szCs w:val="32"/>
        </w:rPr>
        <w:t>复兴区人民检察院是国家法律监督机关的组成部分，其主要职责是：（一）、对区人大及常委会和市人民检察院负责并报告工作，接受监督；（二）、依法对贪污、贿赂，国家工作人员渎职犯罪等进行侦查；（三）、对刑事案件依法审查批捕，提起公诉；（四）、对区法院民事、经济审判和行政诉讼实行法律监督；（五）、对错判的提出建议、依法提起抗诉；（六）、受理控告、申诉和检举，办理刑事赔偿事项；（七）、对职务犯罪预防工作进行研究，并提出对策。</w:t>
      </w:r>
    </w:p>
    <w:p>
      <w:pPr>
        <w:ind w:firstLine="643" w:firstLineChars="200"/>
        <w:rPr>
          <w:rFonts w:ascii="楷体" w:hAnsi="楷体" w:eastAsia="楷体"/>
          <w:b/>
          <w:sz w:val="32"/>
          <w:szCs w:val="32"/>
        </w:rPr>
      </w:pPr>
    </w:p>
    <w:p>
      <w:pPr>
        <w:autoSpaceDE w:val="0"/>
        <w:autoSpaceDN w:val="0"/>
        <w:adjustRightInd w:val="0"/>
        <w:ind w:firstLine="643" w:firstLineChars="200"/>
        <w:jc w:val="left"/>
        <w:rPr>
          <w:rFonts w:ascii="楷体" w:hAnsi="楷体" w:eastAsia="楷体" w:cs="楷体"/>
          <w:b/>
          <w:sz w:val="32"/>
          <w:szCs w:val="32"/>
        </w:rPr>
      </w:pPr>
    </w:p>
    <w:p>
      <w:pPr>
        <w:autoSpaceDE w:val="0"/>
        <w:autoSpaceDN w:val="0"/>
        <w:adjustRightInd w:val="0"/>
        <w:ind w:firstLine="643" w:firstLineChars="200"/>
        <w:jc w:val="left"/>
        <w:rPr>
          <w:rFonts w:ascii="楷体" w:hAnsi="楷体" w:eastAsia="楷体" w:cs="楷体"/>
          <w:b/>
          <w:sz w:val="32"/>
          <w:szCs w:val="32"/>
        </w:rPr>
      </w:pPr>
      <w:r>
        <w:rPr>
          <w:rFonts w:hint="eastAsia" w:ascii="楷体" w:hAnsi="楷体" w:eastAsia="楷体" w:cs="楷体"/>
          <w:b/>
          <w:sz w:val="32"/>
          <w:szCs w:val="32"/>
        </w:rPr>
        <w:t>机构设置：</w:t>
      </w:r>
    </w:p>
    <w:p>
      <w:pPr>
        <w:jc w:val="center"/>
        <w:outlineLvl w:val="0"/>
        <w:rPr>
          <w:rFonts w:ascii="Times New Roman" w:hAnsi="Times New Roman" w:eastAsia="方正小标宋_GBK"/>
          <w:sz w:val="32"/>
          <w:szCs w:val="24"/>
        </w:rPr>
      </w:pPr>
    </w:p>
    <w:p>
      <w:pPr>
        <w:jc w:val="center"/>
        <w:outlineLvl w:val="0"/>
        <w:rPr>
          <w:rFonts w:ascii="Times New Roman" w:hAnsi="Times New Roman" w:eastAsia="方正小标宋_GBK"/>
          <w:sz w:val="32"/>
          <w:szCs w:val="24"/>
        </w:rPr>
      </w:pPr>
      <w:r>
        <w:rPr>
          <w:rFonts w:hint="eastAsia" w:ascii="Times New Roman" w:hAnsi="Times New Roman" w:eastAsia="方正小标宋_GBK"/>
          <w:sz w:val="32"/>
          <w:szCs w:val="24"/>
        </w:rPr>
        <w:t>部门机构设置情况</w:t>
      </w:r>
    </w:p>
    <w:tbl>
      <w:tblPr>
        <w:tblStyle w:val="11"/>
        <w:tblW w:w="86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317" w:type="dxa"/>
            <w:vMerge w:val="restart"/>
            <w:vAlign w:val="center"/>
          </w:tcPr>
          <w:p>
            <w:pPr>
              <w:spacing w:line="300" w:lineRule="exact"/>
              <w:jc w:val="center"/>
              <w:rPr>
                <w:rFonts w:ascii="仿宋_GB2312" w:hAnsi="仿宋_GB2312" w:eastAsia="仿宋_GB2312" w:cs="仿宋_GB2312"/>
                <w:b/>
                <w:szCs w:val="24"/>
              </w:rPr>
            </w:pPr>
            <w:r>
              <w:rPr>
                <w:rFonts w:hint="eastAsia" w:ascii="仿宋_GB2312" w:hAnsi="仿宋_GB2312" w:eastAsia="仿宋_GB2312" w:cs="仿宋_GB2312"/>
                <w:b/>
                <w:szCs w:val="24"/>
              </w:rPr>
              <w:t>单位名称</w:t>
            </w:r>
          </w:p>
        </w:tc>
        <w:tc>
          <w:tcPr>
            <w:tcW w:w="1134" w:type="dxa"/>
            <w:vMerge w:val="restart"/>
            <w:vAlign w:val="center"/>
          </w:tcPr>
          <w:p>
            <w:pPr>
              <w:spacing w:line="300" w:lineRule="exact"/>
              <w:jc w:val="center"/>
              <w:rPr>
                <w:rFonts w:ascii="仿宋_GB2312" w:hAnsi="仿宋_GB2312" w:eastAsia="仿宋_GB2312" w:cs="仿宋_GB2312"/>
                <w:b/>
                <w:szCs w:val="24"/>
              </w:rPr>
            </w:pPr>
            <w:r>
              <w:rPr>
                <w:rFonts w:hint="eastAsia" w:ascii="仿宋_GB2312" w:hAnsi="仿宋_GB2312" w:eastAsia="仿宋_GB2312" w:cs="仿宋_GB2312"/>
                <w:b/>
                <w:szCs w:val="24"/>
              </w:rPr>
              <w:t>单位性质</w:t>
            </w:r>
          </w:p>
        </w:tc>
        <w:tc>
          <w:tcPr>
            <w:tcW w:w="1276" w:type="dxa"/>
            <w:vMerge w:val="restart"/>
            <w:vAlign w:val="center"/>
          </w:tcPr>
          <w:p>
            <w:pPr>
              <w:spacing w:line="300" w:lineRule="exact"/>
              <w:jc w:val="center"/>
              <w:rPr>
                <w:rFonts w:ascii="仿宋_GB2312" w:hAnsi="仿宋_GB2312" w:eastAsia="仿宋_GB2312" w:cs="仿宋_GB2312"/>
                <w:b/>
                <w:szCs w:val="24"/>
              </w:rPr>
            </w:pPr>
            <w:r>
              <w:rPr>
                <w:rFonts w:hint="eastAsia" w:ascii="仿宋_GB2312" w:hAnsi="仿宋_GB2312" w:eastAsia="仿宋_GB2312" w:cs="仿宋_GB2312"/>
                <w:b/>
                <w:szCs w:val="24"/>
              </w:rPr>
              <w:t>单位规格</w:t>
            </w:r>
          </w:p>
        </w:tc>
        <w:tc>
          <w:tcPr>
            <w:tcW w:w="2902" w:type="dxa"/>
            <w:vMerge w:val="restart"/>
            <w:vAlign w:val="center"/>
          </w:tcPr>
          <w:p>
            <w:pPr>
              <w:spacing w:line="300" w:lineRule="exact"/>
              <w:jc w:val="center"/>
              <w:rPr>
                <w:rFonts w:ascii="仿宋_GB2312" w:hAnsi="仿宋_GB2312" w:eastAsia="仿宋_GB2312" w:cs="仿宋_GB2312"/>
                <w:b/>
                <w:szCs w:val="24"/>
              </w:rPr>
            </w:pPr>
            <w:r>
              <w:rPr>
                <w:rFonts w:hint="eastAsia" w:ascii="仿宋_GB2312" w:hAnsi="仿宋_GB2312" w:eastAsia="仿宋_GB2312" w:cs="仿宋_GB2312"/>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left"/>
              <w:outlineLvl w:val="0"/>
              <w:rPr>
                <w:rFonts w:ascii="Times New Roman" w:hAnsi="Times New Roman"/>
                <w:szCs w:val="24"/>
              </w:rPr>
            </w:pPr>
          </w:p>
        </w:tc>
        <w:tc>
          <w:tcPr>
            <w:tcW w:w="1134" w:type="dxa"/>
            <w:vMerge w:val="continue"/>
            <w:vAlign w:val="center"/>
          </w:tcPr>
          <w:p>
            <w:pPr>
              <w:spacing w:line="300" w:lineRule="exact"/>
              <w:jc w:val="left"/>
              <w:outlineLvl w:val="0"/>
              <w:rPr>
                <w:rFonts w:ascii="Times New Roman" w:hAnsi="Times New Roman"/>
                <w:szCs w:val="24"/>
              </w:rPr>
            </w:pPr>
          </w:p>
        </w:tc>
        <w:tc>
          <w:tcPr>
            <w:tcW w:w="1276" w:type="dxa"/>
            <w:vMerge w:val="continue"/>
            <w:vAlign w:val="center"/>
          </w:tcPr>
          <w:p>
            <w:pPr>
              <w:spacing w:line="300" w:lineRule="exact"/>
              <w:jc w:val="left"/>
              <w:outlineLvl w:val="0"/>
              <w:rPr>
                <w:rFonts w:ascii="Times New Roman" w:hAnsi="Times New Roman"/>
                <w:szCs w:val="24"/>
              </w:rPr>
            </w:pPr>
          </w:p>
        </w:tc>
        <w:tc>
          <w:tcPr>
            <w:tcW w:w="2902" w:type="dxa"/>
            <w:vMerge w:val="continue"/>
            <w:vAlign w:val="center"/>
          </w:tcPr>
          <w:p>
            <w:pPr>
              <w:spacing w:line="300" w:lineRule="exact"/>
              <w:jc w:val="left"/>
              <w:outlineLvl w:val="0"/>
              <w:rPr>
                <w:rFonts w:ascii="Times New Roman" w:hAnsi="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317" w:type="dxa"/>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邯郸市复兴区人民检察院</w:t>
            </w:r>
          </w:p>
        </w:tc>
        <w:tc>
          <w:tcPr>
            <w:tcW w:w="1134" w:type="dxa"/>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行政</w:t>
            </w:r>
          </w:p>
        </w:tc>
        <w:tc>
          <w:tcPr>
            <w:tcW w:w="1276" w:type="dxa"/>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正科</w:t>
            </w:r>
          </w:p>
        </w:tc>
        <w:tc>
          <w:tcPr>
            <w:tcW w:w="2902" w:type="dxa"/>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317" w:type="dxa"/>
            <w:vAlign w:val="center"/>
          </w:tcPr>
          <w:p>
            <w:pPr>
              <w:spacing w:line="300" w:lineRule="exact"/>
              <w:jc w:val="center"/>
              <w:rPr>
                <w:rFonts w:ascii="仿宋" w:hAnsi="仿宋" w:eastAsia="仿宋" w:cs="仿宋"/>
                <w:sz w:val="24"/>
                <w:szCs w:val="24"/>
              </w:rPr>
            </w:pPr>
            <w:r>
              <w:rPr>
                <w:rFonts w:hint="eastAsia" w:ascii="仿宋" w:hAnsi="仿宋" w:eastAsia="仿宋" w:cs="仿宋"/>
                <w:kern w:val="0"/>
                <w:sz w:val="24"/>
                <w:szCs w:val="24"/>
              </w:rPr>
              <w:t>后勤保障中心</w:t>
            </w:r>
          </w:p>
        </w:tc>
        <w:tc>
          <w:tcPr>
            <w:tcW w:w="1134" w:type="dxa"/>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事业</w:t>
            </w:r>
          </w:p>
        </w:tc>
        <w:tc>
          <w:tcPr>
            <w:tcW w:w="1276" w:type="dxa"/>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股级</w:t>
            </w:r>
          </w:p>
        </w:tc>
        <w:tc>
          <w:tcPr>
            <w:tcW w:w="2902" w:type="dxa"/>
            <w:vAlign w:val="center"/>
          </w:tcPr>
          <w:p>
            <w:pPr>
              <w:spacing w:line="300" w:lineRule="exact"/>
              <w:jc w:val="center"/>
              <w:rPr>
                <w:rFonts w:ascii="Times New Roman" w:hAnsi="Times New Roman" w:eastAsia="方正书宋_GBK"/>
                <w:sz w:val="24"/>
                <w:szCs w:val="24"/>
              </w:rPr>
            </w:pPr>
            <w:r>
              <w:rPr>
                <w:rFonts w:hint="eastAsia" w:ascii="仿宋" w:hAnsi="仿宋" w:eastAsia="仿宋"/>
                <w:sz w:val="24"/>
                <w:szCs w:val="24"/>
              </w:rPr>
              <w:t>财政性资金基本保证</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宋体" w:hAnsi="宋体" w:eastAsia="宋体" w:cs="宋体"/>
          <w:b w:val="0"/>
          <w:i w:val="0"/>
          <w:caps w:val="0"/>
          <w:color w:val="3A3836"/>
          <w:spacing w:val="0"/>
          <w:kern w:val="0"/>
          <w:sz w:val="30"/>
          <w:szCs w:val="30"/>
          <w:shd w:val="clear" w:fill="FFFFFF"/>
          <w:lang w:val="en-US" w:eastAsia="zh-CN" w:bidi="ar"/>
        </w:rPr>
      </w:pPr>
      <w:r>
        <w:rPr>
          <w:rFonts w:hint="eastAsia" w:ascii="宋体" w:hAnsi="宋体" w:eastAsia="宋体" w:cs="宋体"/>
          <w:b w:val="0"/>
          <w:i w:val="0"/>
          <w:caps w:val="0"/>
          <w:color w:val="3A3836"/>
          <w:spacing w:val="0"/>
          <w:kern w:val="0"/>
          <w:sz w:val="30"/>
          <w:szCs w:val="30"/>
          <w:shd w:val="clear" w:fill="FFFFFF"/>
          <w:lang w:val="en-US" w:eastAsia="zh-CN" w:bidi="ar"/>
        </w:rPr>
        <w:t>复兴区人民检察院内设15个内部机构，其中：办公室、政治处、侦查监督科、公诉科、人民监督员办公室、刑事执行检察局、控告申诉检察科、民事行政检察科、计财装备科、未成年人刑事检察科、法律政策研究室、司法警察大队、检察技术科、纪检组（监察室）、案件管理中心。1个派出机构彭家寨乡检察室，下属事业单位包括后勤保障中心，规格为股级，全民事业单位。</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二、部门预算安排的总体情况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b/>
          <w:sz w:val="32"/>
          <w:szCs w:val="32"/>
        </w:rPr>
      </w:pPr>
      <w:r>
        <w:rPr>
          <w:rFonts w:ascii="楷体" w:hAnsi="楷体" w:eastAsia="楷体"/>
          <w:b/>
          <w:sz w:val="32"/>
          <w:szCs w:val="32"/>
        </w:rPr>
        <w:t>1</w:t>
      </w:r>
      <w:r>
        <w:rPr>
          <w:rFonts w:hint="eastAsia" w:ascii="楷体" w:hAnsi="楷体" w:eastAsia="楷体"/>
          <w:b/>
          <w:sz w:val="32"/>
          <w:szCs w:val="32"/>
        </w:rPr>
        <w:t>、收入说明</w:t>
      </w:r>
    </w:p>
    <w:p>
      <w:pPr>
        <w:spacing w:line="560" w:lineRule="exact"/>
        <w:ind w:firstLine="640"/>
        <w:rPr>
          <w:rFonts w:ascii="Times New Roman" w:hAnsi="Times New Roman" w:eastAsia="方正仿宋_GBK"/>
          <w:sz w:val="32"/>
          <w:szCs w:val="32"/>
        </w:rPr>
      </w:pPr>
      <w:r>
        <w:rPr>
          <w:rFonts w:hint="eastAsia" w:ascii="仿宋" w:hAnsi="仿宋" w:eastAsia="仿宋" w:cs="仿宋"/>
          <w:sz w:val="32"/>
          <w:szCs w:val="32"/>
          <w:lang w:eastAsia="zh-CN"/>
        </w:rPr>
        <w:t>2019</w:t>
      </w:r>
      <w:r>
        <w:rPr>
          <w:rFonts w:hint="eastAsia" w:ascii="仿宋" w:hAnsi="仿宋" w:eastAsia="仿宋" w:cs="仿宋"/>
          <w:sz w:val="32"/>
          <w:szCs w:val="32"/>
        </w:rPr>
        <w:t>年预算收入</w:t>
      </w:r>
      <w:r>
        <w:rPr>
          <w:rFonts w:hint="eastAsia" w:ascii="仿宋" w:hAnsi="仿宋" w:eastAsia="仿宋" w:cs="仿宋"/>
          <w:kern w:val="0"/>
          <w:sz w:val="32"/>
          <w:szCs w:val="32"/>
          <w:lang w:eastAsia="zh-CN"/>
        </w:rPr>
        <w:t>1426.57</w:t>
      </w:r>
      <w:r>
        <w:rPr>
          <w:rFonts w:hint="eastAsia" w:ascii="仿宋" w:hAnsi="仿宋" w:eastAsia="仿宋" w:cs="仿宋"/>
          <w:sz w:val="32"/>
          <w:szCs w:val="32"/>
        </w:rPr>
        <w:t>万元，其中：一般公共预算收入</w:t>
      </w:r>
      <w:r>
        <w:rPr>
          <w:rFonts w:hint="eastAsia" w:ascii="仿宋" w:hAnsi="仿宋" w:eastAsia="仿宋" w:cs="仿宋"/>
          <w:kern w:val="0"/>
          <w:sz w:val="32"/>
          <w:szCs w:val="32"/>
          <w:lang w:eastAsia="zh-CN"/>
        </w:rPr>
        <w:t>1426.57</w:t>
      </w:r>
      <w:r>
        <w:rPr>
          <w:rFonts w:hint="eastAsia" w:ascii="仿宋" w:hAnsi="仿宋" w:eastAsia="仿宋" w:cs="仿宋"/>
          <w:sz w:val="32"/>
          <w:szCs w:val="32"/>
        </w:rPr>
        <w:t>万元，无政府性基金收入、无国有资本经营收入、无事业收入、无其他收入。</w:t>
      </w:r>
    </w:p>
    <w:p>
      <w:pPr>
        <w:spacing w:line="560" w:lineRule="exact"/>
        <w:ind w:firstLine="640"/>
        <w:rPr>
          <w:rFonts w:ascii="楷体" w:hAnsi="楷体" w:eastAsia="楷体"/>
          <w:b/>
          <w:sz w:val="32"/>
          <w:szCs w:val="32"/>
        </w:rPr>
      </w:pPr>
      <w:r>
        <w:rPr>
          <w:rFonts w:ascii="楷体" w:hAnsi="楷体" w:eastAsia="楷体"/>
          <w:b/>
          <w:sz w:val="32"/>
          <w:szCs w:val="32"/>
        </w:rPr>
        <w:t>2</w:t>
      </w:r>
      <w:r>
        <w:rPr>
          <w:rFonts w:hint="eastAsia" w:ascii="楷体" w:hAnsi="楷体" w:eastAsia="楷体"/>
          <w:b/>
          <w:sz w:val="32"/>
          <w:szCs w:val="32"/>
        </w:rPr>
        <w:t>、支出说明</w:t>
      </w:r>
    </w:p>
    <w:p>
      <w:pPr>
        <w:widowControl/>
        <w:ind w:firstLine="640"/>
        <w:rPr>
          <w:rFonts w:ascii="仿宋" w:hAnsi="仿宋" w:eastAsia="仿宋" w:cs="仿宋"/>
          <w:sz w:val="32"/>
          <w:szCs w:val="32"/>
        </w:rPr>
      </w:pPr>
      <w:r>
        <w:rPr>
          <w:rFonts w:hint="eastAsia" w:ascii="仿宋" w:hAnsi="仿宋" w:eastAsia="仿宋" w:cs="仿宋"/>
          <w:sz w:val="32"/>
          <w:szCs w:val="32"/>
          <w:lang w:eastAsia="zh-CN"/>
        </w:rPr>
        <w:t>2019</w:t>
      </w:r>
      <w:r>
        <w:rPr>
          <w:rFonts w:hint="eastAsia" w:ascii="仿宋" w:hAnsi="仿宋" w:eastAsia="仿宋" w:cs="仿宋"/>
          <w:sz w:val="32"/>
          <w:szCs w:val="32"/>
        </w:rPr>
        <w:t>年支出预算</w:t>
      </w:r>
      <w:r>
        <w:rPr>
          <w:rFonts w:hint="eastAsia" w:ascii="仿宋" w:hAnsi="仿宋" w:eastAsia="仿宋" w:cs="仿宋"/>
          <w:sz w:val="32"/>
          <w:szCs w:val="32"/>
          <w:lang w:eastAsia="zh-CN"/>
        </w:rPr>
        <w:t>1426.57</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1148.13</w:t>
      </w:r>
      <w:r>
        <w:rPr>
          <w:rFonts w:hint="eastAsia" w:ascii="仿宋" w:hAnsi="仿宋" w:eastAsia="仿宋" w:cs="仿宋"/>
          <w:sz w:val="32"/>
          <w:szCs w:val="32"/>
        </w:rPr>
        <w:t>万元，包括人员经费</w:t>
      </w:r>
      <w:r>
        <w:rPr>
          <w:rFonts w:hint="eastAsia" w:ascii="仿宋" w:hAnsi="仿宋" w:eastAsia="仿宋" w:cs="仿宋"/>
          <w:sz w:val="32"/>
          <w:szCs w:val="32"/>
          <w:lang w:val="en-US" w:eastAsia="zh-CN"/>
        </w:rPr>
        <w:t>921.69</w:t>
      </w:r>
      <w:r>
        <w:rPr>
          <w:rFonts w:hint="eastAsia" w:ascii="仿宋" w:hAnsi="仿宋" w:eastAsia="仿宋" w:cs="仿宋"/>
          <w:sz w:val="32"/>
          <w:szCs w:val="32"/>
        </w:rPr>
        <w:t>万元和日常公用经费</w:t>
      </w:r>
      <w:r>
        <w:rPr>
          <w:rFonts w:hint="eastAsia" w:ascii="仿宋" w:hAnsi="仿宋" w:eastAsia="仿宋" w:cs="仿宋"/>
          <w:sz w:val="32"/>
          <w:szCs w:val="32"/>
          <w:lang w:val="en-US" w:eastAsia="zh-CN"/>
        </w:rPr>
        <w:t>226.44</w:t>
      </w:r>
      <w:r>
        <w:rPr>
          <w:rFonts w:hint="eastAsia" w:ascii="仿宋" w:hAnsi="仿宋" w:eastAsia="仿宋" w:cs="仿宋"/>
          <w:sz w:val="32"/>
          <w:szCs w:val="32"/>
        </w:rPr>
        <w:t>万元；</w:t>
      </w:r>
      <w:r>
        <w:rPr>
          <w:rFonts w:hint="eastAsia" w:ascii="仿宋" w:hAnsi="仿宋" w:eastAsia="仿宋" w:cs="仿宋"/>
          <w:color w:val="000000"/>
          <w:sz w:val="32"/>
          <w:szCs w:val="32"/>
        </w:rPr>
        <w:t>项目支出</w:t>
      </w:r>
      <w:r>
        <w:rPr>
          <w:rFonts w:hint="eastAsia" w:ascii="仿宋" w:hAnsi="仿宋" w:eastAsia="仿宋" w:cs="仿宋"/>
          <w:color w:val="000000"/>
          <w:sz w:val="32"/>
          <w:szCs w:val="32"/>
          <w:lang w:val="en-US" w:eastAsia="zh-CN"/>
        </w:rPr>
        <w:t>278.44</w:t>
      </w:r>
      <w:r>
        <w:rPr>
          <w:rFonts w:hint="eastAsia" w:ascii="仿宋" w:hAnsi="仿宋" w:eastAsia="仿宋" w:cs="仿宋"/>
          <w:color w:val="000000"/>
          <w:sz w:val="32"/>
          <w:szCs w:val="32"/>
        </w:rPr>
        <w:t>万元</w:t>
      </w:r>
      <w:r>
        <w:rPr>
          <w:rFonts w:hint="eastAsia" w:ascii="仿宋" w:hAnsi="仿宋" w:eastAsia="仿宋" w:cs="仿宋"/>
          <w:kern w:val="0"/>
          <w:sz w:val="32"/>
          <w:szCs w:val="32"/>
        </w:rPr>
        <w:t>。</w:t>
      </w:r>
    </w:p>
    <w:p>
      <w:pPr>
        <w:spacing w:line="560" w:lineRule="exact"/>
        <w:ind w:firstLine="640"/>
        <w:rPr>
          <w:rFonts w:ascii="楷体" w:hAnsi="楷体" w:eastAsia="楷体"/>
          <w:b/>
          <w:sz w:val="32"/>
          <w:szCs w:val="32"/>
        </w:rPr>
      </w:pPr>
      <w:r>
        <w:rPr>
          <w:rFonts w:ascii="楷体" w:hAnsi="楷体" w:eastAsia="楷体"/>
          <w:b/>
          <w:sz w:val="32"/>
          <w:szCs w:val="32"/>
        </w:rPr>
        <w:t>3</w:t>
      </w:r>
      <w:r>
        <w:rPr>
          <w:rFonts w:hint="eastAsia" w:ascii="楷体" w:hAnsi="楷体" w:eastAsia="楷体"/>
          <w:b/>
          <w:sz w:val="32"/>
          <w:szCs w:val="32"/>
        </w:rPr>
        <w:t>、比上年增减变化情况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lang w:eastAsia="zh-CN"/>
        </w:rPr>
        <w:t>2019</w:t>
      </w:r>
      <w:r>
        <w:rPr>
          <w:rFonts w:hint="eastAsia" w:ascii="仿宋" w:hAnsi="仿宋" w:eastAsia="仿宋" w:cs="仿宋"/>
          <w:sz w:val="32"/>
          <w:szCs w:val="32"/>
        </w:rPr>
        <w:t>年预算收支安排</w:t>
      </w:r>
      <w:r>
        <w:rPr>
          <w:rFonts w:hint="eastAsia" w:ascii="仿宋" w:hAnsi="仿宋" w:eastAsia="仿宋" w:cs="仿宋"/>
          <w:sz w:val="32"/>
          <w:szCs w:val="32"/>
          <w:lang w:eastAsia="zh-CN"/>
        </w:rPr>
        <w:t>1426.57</w:t>
      </w:r>
      <w:r>
        <w:rPr>
          <w:rFonts w:hint="eastAsia" w:ascii="仿宋" w:hAnsi="仿宋" w:eastAsia="仿宋" w:cs="仿宋"/>
          <w:sz w:val="32"/>
          <w:szCs w:val="32"/>
        </w:rPr>
        <w:t>万元，较</w:t>
      </w:r>
      <w:r>
        <w:rPr>
          <w:rFonts w:hint="eastAsia" w:ascii="仿宋" w:hAnsi="仿宋" w:eastAsia="仿宋" w:cs="仿宋"/>
          <w:sz w:val="32"/>
          <w:szCs w:val="32"/>
          <w:lang w:eastAsia="zh-CN"/>
        </w:rPr>
        <w:t>2018</w:t>
      </w:r>
      <w:r>
        <w:rPr>
          <w:rFonts w:hint="eastAsia" w:ascii="仿宋" w:hAnsi="仿宋" w:eastAsia="仿宋" w:cs="仿宋"/>
          <w:sz w:val="32"/>
          <w:szCs w:val="32"/>
        </w:rPr>
        <w:t>年预算增加</w:t>
      </w:r>
      <w:r>
        <w:rPr>
          <w:rFonts w:hint="eastAsia" w:ascii="仿宋" w:hAnsi="仿宋" w:eastAsia="仿宋" w:cs="仿宋"/>
          <w:sz w:val="32"/>
          <w:szCs w:val="32"/>
          <w:lang w:val="en-US" w:eastAsia="zh-CN"/>
        </w:rPr>
        <w:t>98.16</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减少22.4</w:t>
      </w:r>
      <w:bookmarkStart w:id="3" w:name="_GoBack"/>
      <w:bookmarkEnd w:id="3"/>
      <w:r>
        <w:rPr>
          <w:rFonts w:hint="eastAsia" w:ascii="仿宋" w:hAnsi="仿宋" w:eastAsia="仿宋" w:cs="仿宋"/>
          <w:sz w:val="32"/>
          <w:szCs w:val="32"/>
        </w:rPr>
        <w:t>万元，主要是人员经费</w:t>
      </w:r>
      <w:r>
        <w:rPr>
          <w:rFonts w:hint="eastAsia" w:ascii="仿宋" w:hAnsi="仿宋" w:eastAsia="仿宋" w:cs="仿宋"/>
          <w:sz w:val="32"/>
          <w:szCs w:val="32"/>
          <w:lang w:val="en-US" w:eastAsia="zh-CN"/>
        </w:rPr>
        <w:t>减少</w:t>
      </w:r>
      <w:r>
        <w:rPr>
          <w:rFonts w:hint="eastAsia" w:ascii="仿宋" w:hAnsi="仿宋" w:eastAsia="仿宋" w:cs="仿宋"/>
          <w:sz w:val="32"/>
          <w:szCs w:val="32"/>
        </w:rPr>
        <w:t>；项目支出</w:t>
      </w:r>
      <w:r>
        <w:rPr>
          <w:rFonts w:hint="eastAsia" w:ascii="仿宋" w:hAnsi="仿宋" w:eastAsia="仿宋" w:cs="仿宋"/>
          <w:sz w:val="32"/>
          <w:szCs w:val="32"/>
          <w:lang w:val="en-US" w:eastAsia="zh-CN"/>
        </w:rPr>
        <w:t>增加120.56</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新招书记员支出增加</w:t>
      </w:r>
      <w:r>
        <w:rPr>
          <w:rFonts w:hint="eastAsia" w:ascii="仿宋" w:hAnsi="仿宋" w:eastAsia="仿宋" w:cs="仿宋"/>
          <w:sz w:val="32"/>
          <w:szCs w:val="32"/>
        </w:rPr>
        <w:t>。</w:t>
      </w:r>
    </w:p>
    <w:p>
      <w:pPr>
        <w:autoSpaceDE w:val="0"/>
        <w:autoSpaceDN w:val="0"/>
        <w:adjustRightInd w:val="0"/>
        <w:spacing w:line="560" w:lineRule="exact"/>
        <w:ind w:left="198" w:firstLine="640" w:firstLineChars="200"/>
        <w:jc w:val="left"/>
        <w:rPr>
          <w:rFonts w:ascii="黑体" w:hAnsi="黑体" w:eastAsia="黑体" w:cs="黑体"/>
          <w:sz w:val="32"/>
          <w:szCs w:val="32"/>
        </w:rPr>
      </w:pPr>
      <w:r>
        <w:rPr>
          <w:rFonts w:hint="eastAsia" w:ascii="黑体" w:hAnsi="黑体" w:eastAsia="黑体" w:cs="黑体"/>
          <w:sz w:val="32"/>
          <w:szCs w:val="32"/>
        </w:rPr>
        <w:t>三、机关运行经费安排情况</w:t>
      </w:r>
    </w:p>
    <w:p>
      <w:pPr>
        <w:autoSpaceDE w:val="0"/>
        <w:autoSpaceDN w:val="0"/>
        <w:adjustRightInd w:val="0"/>
        <w:spacing w:line="560" w:lineRule="exact"/>
        <w:ind w:left="198"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机关运行经费共计安排</w:t>
      </w:r>
      <w:r>
        <w:rPr>
          <w:rFonts w:hint="eastAsia" w:ascii="仿宋" w:hAnsi="仿宋" w:eastAsia="仿宋" w:cs="仿宋"/>
          <w:sz w:val="32"/>
          <w:szCs w:val="32"/>
          <w:lang w:val="en-US" w:eastAsia="zh-CN"/>
        </w:rPr>
        <w:t>226.44</w:t>
      </w:r>
      <w:r>
        <w:rPr>
          <w:rFonts w:hint="eastAsia" w:ascii="仿宋" w:hAnsi="仿宋" w:eastAsia="仿宋" w:cs="仿宋"/>
          <w:sz w:val="32"/>
          <w:szCs w:val="32"/>
        </w:rPr>
        <w:t>万元，主要用于办公区的日常维修费、水费、电费、邮电费、差旅费、办公费、物业管理费</w:t>
      </w:r>
      <w:r>
        <w:rPr>
          <w:rFonts w:hint="eastAsia" w:ascii="仿宋" w:hAnsi="仿宋" w:eastAsia="仿宋" w:cs="仿宋"/>
          <w:sz w:val="32"/>
          <w:szCs w:val="32"/>
          <w:lang w:val="en-US" w:eastAsia="zh-CN"/>
        </w:rPr>
        <w:t>等。</w:t>
      </w:r>
    </w:p>
    <w:p>
      <w:pPr>
        <w:autoSpaceDE w:val="0"/>
        <w:autoSpaceDN w:val="0"/>
        <w:adjustRightInd w:val="0"/>
        <w:spacing w:line="560" w:lineRule="exact"/>
        <w:ind w:left="198" w:firstLine="640" w:firstLineChars="200"/>
        <w:jc w:val="left"/>
        <w:rPr>
          <w:rFonts w:ascii="黑体" w:hAnsi="黑体" w:eastAsia="黑体" w:cs="黑体"/>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spacing w:line="560" w:lineRule="exact"/>
        <w:ind w:left="198" w:firstLine="640" w:firstLineChars="200"/>
        <w:rPr>
          <w:rFonts w:ascii="仿宋" w:hAnsi="仿宋" w:eastAsia="仿宋" w:cs="仿宋"/>
          <w:sz w:val="32"/>
          <w:szCs w:val="32"/>
        </w:rPr>
      </w:pPr>
      <w:r>
        <w:rPr>
          <w:rFonts w:hint="eastAsia" w:ascii="仿宋" w:hAnsi="仿宋" w:eastAsia="仿宋" w:cs="仿宋"/>
          <w:sz w:val="32"/>
          <w:szCs w:val="32"/>
          <w:lang w:eastAsia="zh-CN"/>
        </w:rPr>
        <w:t>2019</w:t>
      </w:r>
      <w:r>
        <w:rPr>
          <w:rFonts w:hint="eastAsia" w:ascii="仿宋" w:hAnsi="仿宋" w:eastAsia="仿宋" w:cs="仿宋"/>
          <w:sz w:val="32"/>
          <w:szCs w:val="32"/>
        </w:rPr>
        <w:t>年，我单位“三公”经费预算安排</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万元，其中因公出国（境）费</w:t>
      </w:r>
      <w:r>
        <w:rPr>
          <w:rFonts w:ascii="仿宋" w:hAnsi="仿宋" w:eastAsia="仿宋" w:cs="仿宋"/>
          <w:sz w:val="32"/>
          <w:szCs w:val="32"/>
        </w:rPr>
        <w:t>0</w:t>
      </w:r>
      <w:r>
        <w:rPr>
          <w:rFonts w:hint="eastAsia" w:ascii="仿宋" w:hAnsi="仿宋" w:eastAsia="仿宋" w:cs="仿宋"/>
          <w:sz w:val="32"/>
          <w:szCs w:val="32"/>
        </w:rPr>
        <w:t>万元；公务用车购置及运维费</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万元（其中：公务用车购置费为</w:t>
      </w:r>
      <w:r>
        <w:rPr>
          <w:rFonts w:ascii="仿宋" w:hAnsi="仿宋" w:eastAsia="仿宋" w:cs="仿宋"/>
          <w:sz w:val="32"/>
          <w:szCs w:val="32"/>
        </w:rPr>
        <w:t>0</w:t>
      </w:r>
      <w:r>
        <w:rPr>
          <w:rFonts w:hint="eastAsia" w:ascii="仿宋" w:hAnsi="仿宋" w:eastAsia="仿宋" w:cs="仿宋"/>
          <w:sz w:val="32"/>
          <w:szCs w:val="32"/>
        </w:rPr>
        <w:t>，公务用车运行费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；公务接待费</w:t>
      </w:r>
      <w:r>
        <w:rPr>
          <w:rFonts w:ascii="仿宋" w:hAnsi="仿宋" w:eastAsia="仿宋" w:cs="仿宋"/>
          <w:sz w:val="32"/>
          <w:szCs w:val="32"/>
        </w:rPr>
        <w:t>0</w:t>
      </w:r>
      <w:r>
        <w:rPr>
          <w:rFonts w:hint="eastAsia" w:ascii="仿宋" w:hAnsi="仿宋" w:eastAsia="仿宋" w:cs="仿宋"/>
          <w:sz w:val="32"/>
          <w:szCs w:val="32"/>
        </w:rPr>
        <w:t>万元。与</w:t>
      </w:r>
      <w:r>
        <w:rPr>
          <w:rFonts w:hint="eastAsia" w:ascii="仿宋" w:hAnsi="仿宋" w:eastAsia="仿宋" w:cs="仿宋"/>
          <w:sz w:val="32"/>
          <w:szCs w:val="32"/>
          <w:lang w:eastAsia="zh-CN"/>
        </w:rPr>
        <w:t>2018</w:t>
      </w:r>
      <w:r>
        <w:rPr>
          <w:rFonts w:hint="eastAsia" w:ascii="仿宋" w:hAnsi="仿宋" w:eastAsia="仿宋" w:cs="仿宋"/>
          <w:sz w:val="32"/>
          <w:szCs w:val="32"/>
        </w:rPr>
        <w:t>年比较，减少</w:t>
      </w:r>
      <w:r>
        <w:rPr>
          <w:rFonts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万元，主要原因是严格执行有关规定，控制车辆运行维修费。</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五、绩效预算信息</w:t>
      </w:r>
    </w:p>
    <w:p>
      <w:pPr>
        <w:keepNext w:val="0"/>
        <w:keepLines w:val="0"/>
        <w:pageBreakBefore w:val="0"/>
        <w:widowControl/>
        <w:kinsoku/>
        <w:wordWrap/>
        <w:overflowPunct/>
        <w:topLinePunct w:val="0"/>
        <w:autoSpaceDE/>
        <w:autoSpaceDN/>
        <w:bidi w:val="0"/>
        <w:adjustRightInd/>
        <w:snapToGrid/>
        <w:ind w:firstLine="602" w:firstLineChars="200"/>
        <w:textAlignment w:val="auto"/>
        <w:rPr>
          <w:rFonts w:hint="eastAsia" w:ascii="仿宋" w:hAnsi="仿宋" w:eastAsia="仿宋" w:cs="仿宋"/>
          <w:kern w:val="0"/>
          <w:sz w:val="32"/>
          <w:szCs w:val="32"/>
        </w:rPr>
      </w:pPr>
      <w:bookmarkStart w:id="0" w:name="_Toc471398463"/>
      <w:r>
        <w:rPr>
          <w:rFonts w:hint="eastAsia" w:ascii="仿宋" w:hAnsi="仿宋" w:eastAsia="仿宋" w:cs="仿宋"/>
          <w:b/>
          <w:sz w:val="30"/>
          <w:szCs w:val="30"/>
        </w:rPr>
        <w:t>总体绩效目标：</w:t>
      </w:r>
    </w:p>
    <w:p>
      <w:pPr>
        <w:autoSpaceDE w:val="0"/>
        <w:autoSpaceDN w:val="0"/>
        <w:adjustRightInd w:val="0"/>
        <w:spacing w:line="560" w:lineRule="exact"/>
        <w:ind w:left="198" w:firstLine="640" w:firstLineChars="200"/>
        <w:rPr>
          <w:rFonts w:hint="eastAsia" w:ascii="仿宋" w:hAnsi="仿宋" w:eastAsia="仿宋" w:cs="仿宋"/>
          <w:sz w:val="32"/>
          <w:szCs w:val="32"/>
        </w:rPr>
      </w:pPr>
      <w:r>
        <w:rPr>
          <w:rFonts w:hint="eastAsia" w:ascii="仿宋" w:hAnsi="仿宋" w:eastAsia="仿宋" w:cs="仿宋"/>
          <w:sz w:val="32"/>
          <w:szCs w:val="32"/>
        </w:rPr>
        <w:t>我院将在区委和市检察院的正确领导下，立足职能，改革创新，突出重点，全面发力，为开创经济强区幸福复兴建设新局面提供坚强的司法保障。</w:t>
      </w:r>
    </w:p>
    <w:p>
      <w:pPr>
        <w:autoSpaceDE w:val="0"/>
        <w:autoSpaceDN w:val="0"/>
        <w:adjustRightInd w:val="0"/>
        <w:spacing w:line="560" w:lineRule="exact"/>
        <w:ind w:left="198" w:firstLine="640" w:firstLineChars="200"/>
        <w:rPr>
          <w:rFonts w:hint="eastAsia" w:ascii="仿宋" w:hAnsi="仿宋" w:eastAsia="仿宋" w:cs="仿宋"/>
          <w:sz w:val="32"/>
          <w:szCs w:val="32"/>
        </w:rPr>
      </w:pPr>
      <w:r>
        <w:rPr>
          <w:rFonts w:hint="eastAsia" w:ascii="仿宋" w:hAnsi="仿宋" w:eastAsia="仿宋" w:cs="仿宋"/>
          <w:sz w:val="32"/>
          <w:szCs w:val="32"/>
        </w:rPr>
        <w:t>一是以更好的成效全力维护我区经济发展环境。紧紧围绕区委、区政府中心工作，立足检察职能，充分履行批捕、公诉、民事行政、刑事执行等检察职责，提高法律监督能力。深入开展扫黑除恶专项斗争，始终保持严打高压态势，依法严厉打击黑恶势力、村霸、暴力性侵财、伤害、非法集资、非法吸收公众存款等犯罪。加大对涉及民生民利、群众反映强烈的食品药品安全、生态环境保护等领域犯罪的惩治力度，保障人民群众“舌尖上的安全”，还人民群众更多碧水蓝天。</w:t>
      </w:r>
    </w:p>
    <w:p>
      <w:pPr>
        <w:autoSpaceDE w:val="0"/>
        <w:autoSpaceDN w:val="0"/>
        <w:adjustRightInd w:val="0"/>
        <w:spacing w:line="560" w:lineRule="exact"/>
        <w:ind w:left="198" w:firstLine="640" w:firstLineChars="200"/>
        <w:rPr>
          <w:rFonts w:hint="eastAsia" w:ascii="仿宋" w:hAnsi="仿宋" w:eastAsia="仿宋" w:cs="仿宋"/>
          <w:sz w:val="32"/>
          <w:szCs w:val="32"/>
        </w:rPr>
      </w:pPr>
      <w:r>
        <w:rPr>
          <w:rFonts w:hint="eastAsia" w:ascii="仿宋" w:hAnsi="仿宋" w:eastAsia="仿宋" w:cs="仿宋"/>
          <w:sz w:val="32"/>
          <w:szCs w:val="32"/>
        </w:rPr>
        <w:t>二是以更硬的措施加强诉讼活动监督。着重监督纠正有案不立、有罪不究、消极侦查、非法取证、违法撤销案件、违法立案、量刑畸轻畸重等问题, 侦查监督和审查起诉工作正确率达到90%以上。注重监督纠正裁判不公、虚假诉讼、违法执行、民事调解损害国家利益和社会公共利益等问题；积极探索生态环境保护领域公益诉讼途径。</w:t>
      </w:r>
    </w:p>
    <w:p>
      <w:pPr>
        <w:autoSpaceDE w:val="0"/>
        <w:autoSpaceDN w:val="0"/>
        <w:adjustRightInd w:val="0"/>
        <w:spacing w:line="560" w:lineRule="exact"/>
        <w:ind w:left="198" w:firstLine="640" w:firstLineChars="200"/>
        <w:rPr>
          <w:rFonts w:hint="eastAsia" w:ascii="仿宋" w:hAnsi="仿宋" w:eastAsia="仿宋" w:cs="仿宋"/>
          <w:sz w:val="32"/>
          <w:szCs w:val="32"/>
        </w:rPr>
      </w:pPr>
      <w:r>
        <w:rPr>
          <w:rFonts w:hint="eastAsia" w:ascii="仿宋" w:hAnsi="仿宋" w:eastAsia="仿宋" w:cs="仿宋"/>
          <w:sz w:val="32"/>
          <w:szCs w:val="32"/>
        </w:rPr>
        <w:t>三是确保全年各项检察工作圆满完成。在上级人民检察院的领导下工作，依照宪法和法律的规定，履行法律监督职能，保证国家法律的统一和正确实施。通过各项检察事务管理工作保障各项检察业务顺利开展。争取综合业务管理和事务管理工作在2019年进入全市先进行列。</w:t>
      </w:r>
    </w:p>
    <w:p>
      <w:pPr>
        <w:spacing w:line="500" w:lineRule="exact"/>
        <w:ind w:firstLine="560"/>
        <w:rPr>
          <w:rFonts w:ascii="方正仿宋_GBK" w:eastAsia="方正仿宋_GBK"/>
          <w:sz w:val="28"/>
        </w:rPr>
      </w:pPr>
    </w:p>
    <w:p>
      <w:pPr>
        <w:jc w:val="left"/>
        <w:rPr>
          <w:rFonts w:hint="eastAsia" w:ascii="方正楷体_GBK" w:eastAsia="方正楷体_GBK"/>
          <w:b/>
          <w:sz w:val="28"/>
        </w:rPr>
      </w:pPr>
      <w:r>
        <w:rPr>
          <w:rFonts w:hint="eastAsia" w:ascii="方正楷体_GBK" w:eastAsia="方正楷体_GBK"/>
          <w:b/>
          <w:sz w:val="28"/>
        </w:rPr>
        <w:t xml:space="preserve">    </w:t>
      </w:r>
      <w:r>
        <w:rPr>
          <w:rFonts w:hint="eastAsia" w:ascii="仿宋" w:hAnsi="仿宋" w:eastAsia="仿宋" w:cs="仿宋"/>
          <w:b/>
          <w:sz w:val="30"/>
          <w:szCs w:val="30"/>
        </w:rPr>
        <w:t>职责分类绩效目标：</w:t>
      </w:r>
    </w:p>
    <w:p>
      <w:pPr>
        <w:widowControl/>
        <w:ind w:firstLine="640"/>
        <w:rPr>
          <w:rFonts w:hint="eastAsia" w:ascii="仿宋" w:hAnsi="仿宋" w:eastAsia="仿宋" w:cs="仿宋"/>
          <w:sz w:val="32"/>
          <w:szCs w:val="32"/>
        </w:rPr>
      </w:pPr>
      <w:r>
        <w:rPr>
          <w:rFonts w:hint="eastAsia" w:ascii="仿宋" w:hAnsi="仿宋" w:eastAsia="仿宋" w:cs="仿宋"/>
          <w:sz w:val="32"/>
          <w:szCs w:val="32"/>
        </w:rPr>
        <w:t>(一)部门职责分类目标</w:t>
      </w:r>
    </w:p>
    <w:p>
      <w:pPr>
        <w:widowControl/>
        <w:ind w:firstLine="640"/>
        <w:rPr>
          <w:rFonts w:hint="eastAsia" w:ascii="仿宋" w:hAnsi="仿宋" w:eastAsia="仿宋" w:cs="仿宋"/>
          <w:sz w:val="32"/>
          <w:szCs w:val="32"/>
        </w:rPr>
      </w:pPr>
      <w:r>
        <w:rPr>
          <w:rFonts w:hint="eastAsia" w:ascii="仿宋" w:hAnsi="仿宋" w:eastAsia="仿宋" w:cs="仿宋"/>
          <w:sz w:val="32"/>
          <w:szCs w:val="32"/>
        </w:rPr>
        <w:t>检察监督职责绩效目标：</w:t>
      </w:r>
    </w:p>
    <w:p>
      <w:pPr>
        <w:widowControl/>
        <w:ind w:firstLine="640"/>
        <w:rPr>
          <w:rFonts w:hint="eastAsia" w:ascii="仿宋" w:hAnsi="仿宋" w:eastAsia="仿宋" w:cs="仿宋"/>
          <w:sz w:val="32"/>
          <w:szCs w:val="32"/>
        </w:rPr>
      </w:pPr>
      <w:r>
        <w:rPr>
          <w:rFonts w:hint="eastAsia" w:ascii="仿宋" w:hAnsi="仿宋" w:eastAsia="仿宋" w:cs="仿宋"/>
          <w:sz w:val="32"/>
          <w:szCs w:val="32"/>
        </w:rPr>
        <w:t>侦查监督：依法保障犯罪嫌疑人的合法权益，提高侦查监督完成率和捕后羁押必要性审查正确率。</w:t>
      </w:r>
    </w:p>
    <w:p>
      <w:pPr>
        <w:widowControl/>
        <w:ind w:firstLine="640"/>
        <w:rPr>
          <w:rFonts w:hint="eastAsia" w:ascii="仿宋" w:hAnsi="仿宋" w:eastAsia="仿宋" w:cs="仿宋"/>
          <w:sz w:val="32"/>
          <w:szCs w:val="32"/>
        </w:rPr>
      </w:pPr>
      <w:r>
        <w:rPr>
          <w:rFonts w:hint="eastAsia" w:ascii="仿宋" w:hAnsi="仿宋" w:eastAsia="仿宋" w:cs="仿宋"/>
          <w:sz w:val="32"/>
          <w:szCs w:val="32"/>
        </w:rPr>
        <w:t>公诉和审判监督:对移送审查起诉的所有案件，重证据、重调查研究，将从事实、证据、定性上把好质量关，同时正确引导办案民警理解移送审查起诉的程序和证据，及时向法院提起诉讼，公安机关和自侦部门移送及时率90%以上，法定时限结案率达95%以上。</w:t>
      </w:r>
    </w:p>
    <w:p>
      <w:pPr>
        <w:widowControl/>
        <w:ind w:firstLine="640"/>
        <w:rPr>
          <w:rFonts w:hint="eastAsia" w:ascii="仿宋" w:hAnsi="仿宋" w:eastAsia="仿宋" w:cs="仿宋"/>
          <w:sz w:val="32"/>
          <w:szCs w:val="32"/>
        </w:rPr>
      </w:pPr>
      <w:r>
        <w:rPr>
          <w:rFonts w:hint="eastAsia" w:ascii="仿宋" w:hAnsi="仿宋" w:eastAsia="仿宋" w:cs="仿宋"/>
          <w:sz w:val="32"/>
          <w:szCs w:val="32"/>
        </w:rPr>
        <w:t>司法辅助:加强各项检察辅助职能，为检务提供有力保障，出警及时率达到100%。</w:t>
      </w:r>
    </w:p>
    <w:p>
      <w:pPr>
        <w:widowControl/>
        <w:ind w:firstLine="640"/>
        <w:rPr>
          <w:rFonts w:hint="eastAsia" w:ascii="仿宋" w:hAnsi="仿宋" w:eastAsia="仿宋" w:cs="仿宋"/>
          <w:sz w:val="32"/>
          <w:szCs w:val="32"/>
        </w:rPr>
      </w:pPr>
      <w:r>
        <w:rPr>
          <w:rFonts w:hint="eastAsia" w:ascii="仿宋" w:hAnsi="仿宋" w:eastAsia="仿宋" w:cs="仿宋"/>
          <w:sz w:val="32"/>
          <w:szCs w:val="32"/>
        </w:rPr>
        <w:t>刑事执行监督:保障刑罚执行和刑事执行活动依法有序执行，被执行人及相关当事人对监督行为和效果满意度达到90%以上。</w:t>
      </w:r>
    </w:p>
    <w:p>
      <w:pPr>
        <w:widowControl/>
        <w:ind w:firstLine="640"/>
        <w:rPr>
          <w:rFonts w:hint="eastAsia" w:ascii="仿宋" w:hAnsi="仿宋" w:eastAsia="仿宋" w:cs="仿宋"/>
          <w:sz w:val="32"/>
          <w:szCs w:val="32"/>
        </w:rPr>
      </w:pPr>
      <w:r>
        <w:rPr>
          <w:rFonts w:hint="eastAsia" w:ascii="仿宋" w:hAnsi="仿宋" w:eastAsia="仿宋" w:cs="仿宋"/>
          <w:sz w:val="32"/>
          <w:szCs w:val="32"/>
        </w:rPr>
        <w:t>未成年人刑事检察:完成移交未成年人案件侦查监督任务，有效实施未成年人案件审判监督，依法保护刑事案件未成年被害人的合法权益，落实检察长、副检察长担任辖区内小学兼职法治副校长制度, 发挥“未成年人法律帮帮团”作用,开展法治宣传教育5次以上。</w:t>
      </w:r>
    </w:p>
    <w:p>
      <w:pPr>
        <w:widowControl/>
        <w:ind w:firstLine="640"/>
        <w:rPr>
          <w:rFonts w:hint="eastAsia" w:ascii="仿宋" w:hAnsi="仿宋" w:eastAsia="仿宋" w:cs="仿宋"/>
          <w:sz w:val="32"/>
          <w:szCs w:val="32"/>
        </w:rPr>
      </w:pPr>
      <w:r>
        <w:rPr>
          <w:rFonts w:hint="eastAsia" w:ascii="仿宋" w:hAnsi="仿宋" w:eastAsia="仿宋" w:cs="仿宋"/>
          <w:sz w:val="32"/>
          <w:szCs w:val="32"/>
        </w:rPr>
        <w:t>控告和刑事申诉检察职责绩效目标：</w:t>
      </w:r>
    </w:p>
    <w:p>
      <w:pPr>
        <w:widowControl/>
        <w:ind w:firstLine="640"/>
        <w:rPr>
          <w:rFonts w:hint="eastAsia" w:ascii="仿宋" w:hAnsi="仿宋" w:eastAsia="仿宋" w:cs="仿宋"/>
          <w:sz w:val="32"/>
          <w:szCs w:val="32"/>
        </w:rPr>
      </w:pPr>
      <w:r>
        <w:rPr>
          <w:rFonts w:hint="eastAsia" w:ascii="仿宋" w:hAnsi="仿宋" w:eastAsia="仿宋" w:cs="仿宋"/>
          <w:sz w:val="32"/>
          <w:szCs w:val="32"/>
        </w:rPr>
        <w:t>在涉检信访办理时，解决群众诉求，构建依法有序信访秩序，提高涉检信访案件办结率。全力化解信访矛盾隐患。主管领导和相关科室层层分包，全力化解,每月深入到康庄乡接访1次以上，来访群众及法律咨询群众满意度达到95%以上。在举报管理、刑事申诉及涉检国家赔偿和司法救助中，保护被赔偿人和被救助人合法权益，加强和改进举报工作。</w:t>
      </w:r>
    </w:p>
    <w:p>
      <w:pPr>
        <w:widowControl/>
        <w:ind w:firstLine="640"/>
        <w:rPr>
          <w:rFonts w:hint="eastAsia" w:ascii="仿宋" w:hAnsi="仿宋" w:eastAsia="仿宋" w:cs="仿宋"/>
          <w:sz w:val="32"/>
          <w:szCs w:val="32"/>
        </w:rPr>
      </w:pPr>
      <w:r>
        <w:rPr>
          <w:rFonts w:hint="eastAsia" w:ascii="仿宋" w:hAnsi="仿宋" w:eastAsia="仿宋" w:cs="仿宋"/>
          <w:sz w:val="32"/>
          <w:szCs w:val="32"/>
        </w:rPr>
        <w:t>检察事务管理职责绩效目标：做好系统综合业务管理和综合事务管理工作。技术科远程庭审系统及政法共享协同平台调试准确率达到100%；办公室收发传真文件，签收机要文件及时率达到100%；计财装备科做好2019年经费保障工作，经费拨付与支出，工资发放准确率达到100%；政治处做好“两微一端”及门户网站信息维护工作，其中，微信发布信息、微博发布信息、门户网站发布信息20条以上，新闻客户端发布信息10条以上。</w:t>
      </w:r>
    </w:p>
    <w:p>
      <w:pPr>
        <w:widowControl/>
        <w:ind w:firstLine="640"/>
        <w:rPr>
          <w:rFonts w:hint="eastAsia" w:ascii="仿宋" w:hAnsi="仿宋" w:eastAsia="仿宋" w:cs="仿宋"/>
          <w:sz w:val="32"/>
          <w:szCs w:val="32"/>
        </w:rPr>
      </w:pPr>
      <w:r>
        <w:rPr>
          <w:rFonts w:hint="eastAsia" w:ascii="仿宋" w:hAnsi="仿宋" w:eastAsia="仿宋" w:cs="仿宋"/>
          <w:sz w:val="32"/>
          <w:szCs w:val="32"/>
        </w:rPr>
        <w:t>（二）产出目标</w:t>
      </w:r>
    </w:p>
    <w:p>
      <w:pPr>
        <w:widowControl/>
        <w:ind w:firstLine="640"/>
        <w:rPr>
          <w:rFonts w:hint="eastAsia" w:ascii="仿宋" w:hAnsi="仿宋" w:eastAsia="仿宋" w:cs="仿宋"/>
          <w:sz w:val="32"/>
          <w:szCs w:val="32"/>
        </w:rPr>
      </w:pPr>
      <w:r>
        <w:rPr>
          <w:rFonts w:hint="eastAsia" w:ascii="仿宋" w:hAnsi="仿宋" w:eastAsia="仿宋" w:cs="仿宋"/>
          <w:sz w:val="32"/>
          <w:szCs w:val="32"/>
        </w:rPr>
        <w:t>1、履行审查逮捕、立案监督和侦查活动监督等职能，侦查监督完成率达到100%。</w:t>
      </w:r>
    </w:p>
    <w:p>
      <w:pPr>
        <w:widowControl/>
        <w:ind w:firstLine="640"/>
        <w:rPr>
          <w:rFonts w:hint="eastAsia" w:ascii="仿宋" w:hAnsi="仿宋" w:eastAsia="仿宋" w:cs="仿宋"/>
          <w:sz w:val="32"/>
          <w:szCs w:val="32"/>
        </w:rPr>
      </w:pPr>
      <w:r>
        <w:rPr>
          <w:rFonts w:hint="eastAsia" w:ascii="仿宋" w:hAnsi="仿宋" w:eastAsia="仿宋" w:cs="仿宋"/>
          <w:sz w:val="32"/>
          <w:szCs w:val="32"/>
        </w:rPr>
        <w:t>2、履行公诉和审判监督职能，全面审查案件事实，核实证据，提高公诉案件审结率，法定时限结案率达100%。</w:t>
      </w:r>
    </w:p>
    <w:p>
      <w:pPr>
        <w:widowControl/>
        <w:ind w:firstLine="640"/>
        <w:rPr>
          <w:rFonts w:hint="eastAsia" w:ascii="仿宋" w:hAnsi="仿宋" w:eastAsia="仿宋" w:cs="仿宋"/>
          <w:sz w:val="32"/>
          <w:szCs w:val="32"/>
        </w:rPr>
      </w:pPr>
      <w:r>
        <w:rPr>
          <w:rFonts w:hint="eastAsia" w:ascii="仿宋" w:hAnsi="仿宋" w:eastAsia="仿宋" w:cs="仿宋"/>
          <w:sz w:val="32"/>
          <w:szCs w:val="32"/>
        </w:rPr>
        <w:t>3、履行控告和刑事申诉检察职责，举报线索处置率98%以上。</w:t>
      </w:r>
    </w:p>
    <w:p>
      <w:pPr>
        <w:widowControl/>
        <w:ind w:firstLine="640"/>
        <w:rPr>
          <w:rFonts w:hint="eastAsia" w:ascii="仿宋" w:hAnsi="仿宋" w:eastAsia="仿宋" w:cs="仿宋"/>
          <w:sz w:val="32"/>
          <w:szCs w:val="32"/>
        </w:rPr>
      </w:pPr>
      <w:r>
        <w:rPr>
          <w:rFonts w:hint="eastAsia" w:ascii="仿宋" w:hAnsi="仿宋" w:eastAsia="仿宋" w:cs="仿宋"/>
          <w:sz w:val="32"/>
          <w:szCs w:val="32"/>
        </w:rPr>
        <w:t>4、履行检察事务管理职责，重点检务保障工作完成率达到100%。</w:t>
      </w:r>
    </w:p>
    <w:p>
      <w:pPr>
        <w:widowControl/>
        <w:ind w:firstLine="640"/>
        <w:rPr>
          <w:rFonts w:hint="eastAsia" w:ascii="仿宋" w:hAnsi="仿宋" w:eastAsia="仿宋" w:cs="仿宋"/>
          <w:sz w:val="32"/>
          <w:szCs w:val="32"/>
        </w:rPr>
      </w:pPr>
      <w:r>
        <w:rPr>
          <w:rFonts w:hint="eastAsia" w:ascii="仿宋" w:hAnsi="仿宋" w:eastAsia="仿宋" w:cs="仿宋"/>
          <w:sz w:val="32"/>
          <w:szCs w:val="32"/>
        </w:rPr>
        <w:t>5、对服务对象承诺的事项在承诺时间内完成率达到100%。</w:t>
      </w:r>
    </w:p>
    <w:p>
      <w:pPr>
        <w:widowControl/>
        <w:ind w:firstLine="640"/>
        <w:rPr>
          <w:rFonts w:hint="eastAsia" w:ascii="仿宋" w:hAnsi="仿宋" w:eastAsia="仿宋" w:cs="仿宋"/>
          <w:sz w:val="32"/>
          <w:szCs w:val="32"/>
        </w:rPr>
      </w:pPr>
      <w:r>
        <w:rPr>
          <w:rFonts w:hint="eastAsia" w:ascii="仿宋" w:hAnsi="仿宋" w:eastAsia="仿宋" w:cs="仿宋"/>
          <w:sz w:val="32"/>
          <w:szCs w:val="32"/>
        </w:rPr>
        <w:t>（三）成本目标</w:t>
      </w:r>
    </w:p>
    <w:p>
      <w:pPr>
        <w:widowControl/>
        <w:ind w:firstLine="640"/>
        <w:rPr>
          <w:rFonts w:hint="eastAsia" w:ascii="仿宋" w:hAnsi="仿宋" w:eastAsia="仿宋" w:cs="仿宋"/>
          <w:sz w:val="32"/>
          <w:szCs w:val="32"/>
        </w:rPr>
      </w:pPr>
      <w:r>
        <w:rPr>
          <w:rFonts w:hint="eastAsia" w:ascii="仿宋" w:hAnsi="仿宋" w:eastAsia="仿宋" w:cs="仿宋"/>
          <w:sz w:val="32"/>
          <w:szCs w:val="32"/>
        </w:rPr>
        <w:t>1、人均公用经费控制在2.8万元以内</w:t>
      </w:r>
    </w:p>
    <w:p>
      <w:pPr>
        <w:widowControl/>
        <w:ind w:firstLine="640"/>
        <w:rPr>
          <w:rFonts w:hint="eastAsia" w:ascii="仿宋" w:hAnsi="仿宋" w:eastAsia="仿宋" w:cs="仿宋"/>
          <w:sz w:val="32"/>
          <w:szCs w:val="32"/>
        </w:rPr>
      </w:pPr>
      <w:r>
        <w:rPr>
          <w:rFonts w:hint="eastAsia" w:ascii="仿宋" w:hAnsi="仿宋" w:eastAsia="仿宋" w:cs="仿宋"/>
          <w:sz w:val="32"/>
          <w:szCs w:val="32"/>
        </w:rPr>
        <w:t>2、三公经费只减不增</w:t>
      </w:r>
    </w:p>
    <w:p>
      <w:pPr>
        <w:widowControl/>
        <w:ind w:firstLine="640"/>
        <w:rPr>
          <w:rFonts w:hint="eastAsia" w:ascii="仿宋" w:hAnsi="仿宋" w:eastAsia="仿宋" w:cs="仿宋"/>
          <w:sz w:val="32"/>
          <w:szCs w:val="32"/>
        </w:rPr>
      </w:pPr>
      <w:r>
        <w:rPr>
          <w:rFonts w:hint="eastAsia" w:ascii="仿宋" w:hAnsi="仿宋" w:eastAsia="仿宋" w:cs="仿宋"/>
          <w:sz w:val="32"/>
          <w:szCs w:val="32"/>
        </w:rPr>
        <w:t>（四）预算资金管理效率目标</w:t>
      </w:r>
    </w:p>
    <w:p>
      <w:pPr>
        <w:widowControl/>
        <w:ind w:firstLine="640"/>
        <w:rPr>
          <w:rFonts w:hint="eastAsia" w:ascii="仿宋" w:hAnsi="仿宋" w:eastAsia="仿宋" w:cs="仿宋"/>
          <w:sz w:val="32"/>
          <w:szCs w:val="32"/>
        </w:rPr>
      </w:pPr>
      <w:r>
        <w:rPr>
          <w:rFonts w:hint="eastAsia" w:ascii="仿宋" w:hAnsi="仿宋" w:eastAsia="仿宋" w:cs="仿宋"/>
          <w:sz w:val="32"/>
          <w:szCs w:val="32"/>
        </w:rPr>
        <w:t>1、预算编制及时、规范、准确、精细。其中：项目预算细化到具体承担单位，达到可拨付、可执行程度。除按规定据实结算项目资金外，中央提前下达资金细化率达到90%，省提前下达资金细化率达到80%。政府采购预算编制达标率达到100%。</w:t>
      </w:r>
    </w:p>
    <w:p>
      <w:pPr>
        <w:widowControl/>
        <w:ind w:firstLine="640"/>
        <w:rPr>
          <w:rFonts w:hint="eastAsia" w:ascii="仿宋" w:hAnsi="仿宋" w:eastAsia="仿宋" w:cs="仿宋"/>
          <w:sz w:val="32"/>
          <w:szCs w:val="32"/>
        </w:rPr>
      </w:pPr>
      <w:r>
        <w:rPr>
          <w:rFonts w:hint="eastAsia" w:ascii="仿宋" w:hAnsi="仿宋" w:eastAsia="仿宋" w:cs="仿宋"/>
          <w:sz w:val="32"/>
          <w:szCs w:val="32"/>
        </w:rPr>
        <w:t>2、支出进度达到区委区政府规定的序时进度。其中：6月末达到50%，9月末达到75%，10月末达到90%，年末达到95%以上。</w:t>
      </w:r>
    </w:p>
    <w:p>
      <w:pPr>
        <w:widowControl/>
        <w:ind w:firstLine="640"/>
        <w:rPr>
          <w:rFonts w:hint="eastAsia" w:ascii="仿宋" w:hAnsi="仿宋" w:eastAsia="仿宋" w:cs="仿宋"/>
          <w:sz w:val="32"/>
          <w:szCs w:val="32"/>
        </w:rPr>
      </w:pPr>
      <w:r>
        <w:rPr>
          <w:rFonts w:hint="eastAsia" w:ascii="仿宋" w:hAnsi="仿宋" w:eastAsia="仿宋" w:cs="仿宋"/>
          <w:sz w:val="32"/>
          <w:szCs w:val="32"/>
        </w:rPr>
        <w:t>3、部门预算决算公开及时完整。</w:t>
      </w:r>
    </w:p>
    <w:p>
      <w:pPr>
        <w:widowControl/>
        <w:ind w:firstLine="640"/>
        <w:rPr>
          <w:rFonts w:hint="eastAsia" w:ascii="仿宋" w:hAnsi="仿宋" w:eastAsia="仿宋" w:cs="仿宋"/>
          <w:sz w:val="32"/>
          <w:szCs w:val="32"/>
        </w:rPr>
      </w:pPr>
      <w:r>
        <w:rPr>
          <w:rFonts w:hint="eastAsia" w:ascii="仿宋" w:hAnsi="仿宋" w:eastAsia="仿宋" w:cs="仿宋"/>
          <w:sz w:val="32"/>
          <w:szCs w:val="32"/>
        </w:rPr>
        <w:t>4、项目绩效目标实现率达到100%。</w:t>
      </w:r>
    </w:p>
    <w:p>
      <w:pPr>
        <w:widowControl/>
        <w:ind w:firstLine="640"/>
        <w:rPr>
          <w:rFonts w:hint="eastAsia" w:ascii="仿宋" w:hAnsi="仿宋" w:eastAsia="仿宋" w:cs="仿宋"/>
          <w:sz w:val="32"/>
          <w:szCs w:val="32"/>
        </w:rPr>
      </w:pPr>
      <w:r>
        <w:rPr>
          <w:rFonts w:hint="eastAsia" w:ascii="仿宋" w:hAnsi="仿宋" w:eastAsia="仿宋" w:cs="仿宋"/>
          <w:sz w:val="32"/>
          <w:szCs w:val="32"/>
        </w:rPr>
        <w:t>（五）服务对象满意度目标</w:t>
      </w:r>
    </w:p>
    <w:p>
      <w:pPr>
        <w:widowControl/>
        <w:ind w:firstLine="640"/>
        <w:rPr>
          <w:rFonts w:hint="eastAsia" w:ascii="仿宋" w:hAnsi="仿宋" w:eastAsia="仿宋" w:cs="仿宋"/>
          <w:sz w:val="32"/>
          <w:szCs w:val="32"/>
        </w:rPr>
      </w:pPr>
      <w:r>
        <w:rPr>
          <w:rFonts w:hint="eastAsia" w:ascii="仿宋" w:hAnsi="仿宋" w:eastAsia="仿宋" w:cs="仿宋"/>
          <w:sz w:val="32"/>
          <w:szCs w:val="32"/>
        </w:rPr>
        <w:t>检察院履行控告和刑事申诉检察职责，控申部门受理来信来访、举报、刑事申诉、国家赔偿、司法救助工作，建立“12309”检察服务中心，拓宽为民服务渠道，丰富检务公开形式，提供更加高效便捷的检察服务，来访群众及法律咨询群众满意度达到95%以上。</w:t>
      </w:r>
    </w:p>
    <w:p>
      <w:pPr>
        <w:widowControl/>
        <w:ind w:firstLine="640"/>
        <w:rPr>
          <w:rFonts w:hint="eastAsia" w:ascii="仿宋" w:hAnsi="仿宋" w:eastAsia="仿宋" w:cs="仿宋"/>
          <w:sz w:val="32"/>
          <w:szCs w:val="32"/>
        </w:rPr>
      </w:pPr>
      <w:r>
        <w:rPr>
          <w:rFonts w:hint="eastAsia" w:ascii="仿宋" w:hAnsi="仿宋" w:eastAsia="仿宋" w:cs="仿宋"/>
          <w:sz w:val="32"/>
          <w:szCs w:val="32"/>
        </w:rPr>
        <w:t>检察院履行民事行政诉讼监督职能，多措并举加强公益诉讼工作，积极探索生态环境保护领域公益诉讼途径，生态环境和资源保护、食品药品安全等相关部门对公益诉讼工作满意度90%以上。</w:t>
      </w:r>
    </w:p>
    <w:p>
      <w:pPr>
        <w:widowControl/>
        <w:ind w:firstLine="640"/>
        <w:rPr>
          <w:rFonts w:hint="eastAsia" w:ascii="仿宋" w:hAnsi="仿宋" w:eastAsia="仿宋" w:cs="仿宋"/>
          <w:sz w:val="32"/>
          <w:szCs w:val="32"/>
        </w:rPr>
      </w:pPr>
      <w:r>
        <w:rPr>
          <w:rFonts w:hint="eastAsia" w:ascii="仿宋" w:hAnsi="仿宋" w:eastAsia="仿宋" w:cs="仿宋"/>
          <w:sz w:val="32"/>
          <w:szCs w:val="32"/>
        </w:rPr>
        <w:t>检察院履行未成年人刑事检察职责，承担预防未成年人犯罪综合治理工作；依法保护刑事案件未成年被害人的合法权益，在辖区内小学开展法治宣传教育，辖区内学校师生满意度达到98%以上。</w:t>
      </w:r>
    </w:p>
    <w:p>
      <w:pPr>
        <w:widowControl/>
        <w:ind w:firstLine="640"/>
        <w:rPr>
          <w:rFonts w:ascii="方正仿宋_GBK" w:eastAsia="方正仿宋_GBK"/>
          <w:sz w:val="28"/>
        </w:rPr>
      </w:pPr>
      <w:r>
        <w:rPr>
          <w:rFonts w:hint="eastAsia" w:ascii="仿宋" w:hAnsi="仿宋" w:eastAsia="仿宋" w:cs="仿宋"/>
          <w:sz w:val="32"/>
          <w:szCs w:val="32"/>
        </w:rPr>
        <w:t>履行刑事执行监督职责，保障刑罚执行和刑事执行活动依法有序执行，被执行人及相关当事人对监督行为和效果满意度达到90%以上。</w:t>
      </w:r>
    </w:p>
    <w:p>
      <w:pPr>
        <w:spacing w:line="500" w:lineRule="exact"/>
        <w:ind w:firstLine="560"/>
        <w:rPr>
          <w:rFonts w:ascii="方正仿宋_GBK" w:eastAsia="方正仿宋_GBK"/>
          <w:sz w:val="28"/>
        </w:rPr>
      </w:pPr>
    </w:p>
    <w:p>
      <w:pPr>
        <w:spacing w:line="500" w:lineRule="exact"/>
        <w:ind w:firstLine="560"/>
        <w:rPr>
          <w:rFonts w:ascii="方正仿宋_GBK" w:eastAsia="方正仿宋_GBK"/>
          <w:sz w:val="28"/>
        </w:rPr>
      </w:pPr>
      <w:r>
        <w:rPr>
          <w:rFonts w:hint="eastAsia" w:ascii="方正黑体_GBK" w:eastAsia="方正黑体_GBK"/>
          <w:sz w:val="28"/>
        </w:rPr>
        <w:t xml:space="preserve">    </w:t>
      </w:r>
    </w:p>
    <w:p>
      <w:pPr>
        <w:keepNext w:val="0"/>
        <w:keepLines w:val="0"/>
        <w:pageBreakBefore w:val="0"/>
        <w:widowControl w:val="0"/>
        <w:kinsoku/>
        <w:wordWrap/>
        <w:overflowPunct/>
        <w:topLinePunct w:val="0"/>
        <w:autoSpaceDE/>
        <w:autoSpaceDN/>
        <w:bidi w:val="0"/>
        <w:adjustRightInd/>
        <w:snapToGrid/>
        <w:ind w:firstLine="602" w:firstLineChars="200"/>
        <w:jc w:val="left"/>
        <w:textAlignment w:val="auto"/>
        <w:rPr>
          <w:rFonts w:hint="eastAsia" w:ascii="仿宋" w:hAnsi="仿宋" w:eastAsia="仿宋" w:cs="仿宋"/>
          <w:b/>
          <w:sz w:val="30"/>
          <w:szCs w:val="30"/>
        </w:rPr>
      </w:pPr>
      <w:r>
        <w:rPr>
          <w:rFonts w:hint="eastAsia" w:ascii="仿宋" w:hAnsi="仿宋" w:eastAsia="仿宋" w:cs="仿宋"/>
          <w:b/>
          <w:sz w:val="30"/>
          <w:szCs w:val="30"/>
        </w:rPr>
        <w:t>实现发展规划目标的保障措施</w:t>
      </w:r>
    </w:p>
    <w:p>
      <w:pPr>
        <w:widowControl/>
        <w:ind w:firstLine="640"/>
        <w:rPr>
          <w:rFonts w:hint="eastAsia" w:ascii="仿宋" w:hAnsi="仿宋" w:eastAsia="仿宋" w:cs="仿宋"/>
          <w:sz w:val="32"/>
          <w:szCs w:val="32"/>
        </w:rPr>
      </w:pPr>
      <w:r>
        <w:rPr>
          <w:rFonts w:hint="eastAsia" w:ascii="仿宋" w:hAnsi="仿宋" w:eastAsia="仿宋" w:cs="仿宋"/>
          <w:sz w:val="32"/>
          <w:szCs w:val="32"/>
        </w:rPr>
        <w:t>（一）强化服务意识、大局意识。按照最高检关于服务和保障打好“三大攻坚战”8条意见要求，充分运用刑事检察、民事检察、行政检察等职能，积极主动作为，自觉把检察工作放到全区经济社会发展的大局中来谋划和推进，更好地服务保障区域经济建设和人民安居乐业的社会环境。</w:t>
      </w:r>
    </w:p>
    <w:p>
      <w:pPr>
        <w:widowControl/>
        <w:ind w:firstLine="640"/>
        <w:rPr>
          <w:rFonts w:hint="eastAsia" w:ascii="仿宋" w:hAnsi="仿宋" w:eastAsia="仿宋" w:cs="仿宋"/>
          <w:sz w:val="32"/>
          <w:szCs w:val="32"/>
        </w:rPr>
      </w:pPr>
      <w:r>
        <w:rPr>
          <w:rFonts w:hint="eastAsia" w:ascii="仿宋" w:hAnsi="仿宋" w:eastAsia="仿宋" w:cs="仿宋"/>
          <w:sz w:val="32"/>
          <w:szCs w:val="32"/>
        </w:rPr>
        <w:t>（二）加大扫黑除恶的责任担当。进一步提升政治站位，强化政治担当，始终把扫黑除恶专项斗争作为重大政治任务抓紧抓实。全面落实依法治国要求，对黑恶势力犯罪在依法从严惩处的同时，要牢牢守住法治底线。当前，重点做好“4.16”两个专案的公诉工作。</w:t>
      </w:r>
    </w:p>
    <w:p>
      <w:pPr>
        <w:widowControl/>
        <w:ind w:firstLine="640"/>
        <w:rPr>
          <w:rFonts w:hint="eastAsia" w:ascii="仿宋" w:hAnsi="仿宋" w:eastAsia="仿宋" w:cs="仿宋"/>
          <w:sz w:val="32"/>
          <w:szCs w:val="32"/>
        </w:rPr>
      </w:pPr>
      <w:r>
        <w:rPr>
          <w:rFonts w:hint="eastAsia" w:ascii="仿宋" w:hAnsi="仿宋" w:eastAsia="仿宋" w:cs="仿宋"/>
          <w:sz w:val="32"/>
          <w:szCs w:val="32"/>
        </w:rPr>
        <w:t>（三）深入推进公益诉讼向纵深发展。把公益诉讼作为“一把手”工程来抓，加强统筹谋划和组织协调。积极贯彻双赢多赢共赢的理念，争取党委、人大和政府理解支持，努力与行政机关建立起信息共享、线索移送、结果反馈等沟通协作机制。同时，通过教育培训、干部交流等措施，解决办案力量、办案经验不足问题，努力实现公益诉讼案件进入诉讼程序的目标。</w:t>
      </w:r>
    </w:p>
    <w:p>
      <w:pPr>
        <w:widowControl/>
        <w:ind w:firstLine="640"/>
        <w:rPr>
          <w:rFonts w:hint="eastAsia" w:ascii="仿宋" w:hAnsi="仿宋" w:eastAsia="仿宋" w:cs="仿宋"/>
          <w:sz w:val="32"/>
          <w:szCs w:val="32"/>
        </w:rPr>
      </w:pPr>
      <w:r>
        <w:rPr>
          <w:rFonts w:hint="eastAsia" w:ascii="仿宋" w:hAnsi="仿宋" w:eastAsia="仿宋" w:cs="仿宋"/>
          <w:sz w:val="32"/>
          <w:szCs w:val="32"/>
        </w:rPr>
        <w:t>（四）进一步加快司法改革步伐。大力推进捕诉合一内设机构和司法责任制改革，进一步完善绩效工资发放制度。配合我区监察体制改革，探索建立与监察委员会相适应的检察工作机制。</w:t>
      </w:r>
    </w:p>
    <w:p>
      <w:pPr>
        <w:widowControl/>
        <w:ind w:firstLine="640"/>
        <w:rPr>
          <w:rFonts w:hint="eastAsia" w:ascii="仿宋" w:hAnsi="仿宋" w:eastAsia="仿宋" w:cs="仿宋"/>
          <w:sz w:val="32"/>
          <w:szCs w:val="32"/>
        </w:rPr>
      </w:pPr>
      <w:r>
        <w:rPr>
          <w:rFonts w:hint="eastAsia" w:ascii="仿宋" w:hAnsi="仿宋" w:eastAsia="仿宋" w:cs="仿宋"/>
          <w:sz w:val="32"/>
          <w:szCs w:val="32"/>
        </w:rPr>
        <w:t>（五）抓实抓好特色亮点工作。围绕重点工作，紧密结合实际，特别是在公益诉讼和刑事执行方面，创新工作，真正把工作中的好做法、好经验提炼出来。</w:t>
      </w:r>
    </w:p>
    <w:p>
      <w:pPr>
        <w:widowControl/>
        <w:ind w:firstLine="640"/>
        <w:rPr>
          <w:rFonts w:hint="eastAsia" w:ascii="仿宋" w:hAnsi="仿宋" w:eastAsia="仿宋" w:cs="仿宋"/>
          <w:sz w:val="32"/>
          <w:szCs w:val="32"/>
        </w:rPr>
      </w:pPr>
      <w:r>
        <w:rPr>
          <w:rFonts w:hint="eastAsia" w:ascii="仿宋" w:hAnsi="仿宋" w:eastAsia="仿宋" w:cs="仿宋"/>
          <w:sz w:val="32"/>
          <w:szCs w:val="32"/>
        </w:rPr>
        <w:t>（六）进一步提升队伍素质。继续坚持早点名、指纹签到、网上签到和不定期抽查等制度，特别是抓好新颁布的《中国共产党纪律处分条例》学习，努力提高干警的作风养成，持之以恒正风肃纪。</w:t>
      </w:r>
    </w:p>
    <w:p>
      <w:pPr>
        <w:spacing w:line="500" w:lineRule="exact"/>
        <w:ind w:firstLine="560"/>
        <w:rPr>
          <w:rFonts w:ascii="方正仿宋_GBK" w:eastAsia="方正仿宋_GBK"/>
          <w:sz w:val="28"/>
        </w:rPr>
      </w:pPr>
    </w:p>
    <w:p>
      <w:pPr>
        <w:jc w:val="left"/>
        <w:sectPr>
          <w:footerReference r:id="rId4" w:type="default"/>
          <w:pgSz w:w="11907" w:h="16839"/>
          <w:pgMar w:top="1531" w:right="1134" w:bottom="1474" w:left="1134" w:header="851" w:footer="992" w:gutter="0"/>
          <w:pgNumType w:start="1"/>
          <w:cols w:space="425" w:num="1"/>
          <w:docGrid w:type="lines" w:linePitch="312" w:charSpace="0"/>
        </w:sectPr>
      </w:pPr>
    </w:p>
    <w:p>
      <w:pPr>
        <w:jc w:val="center"/>
        <w:outlineLvl w:val="0"/>
        <w:rPr>
          <w:rFonts w:ascii="方正小标宋_GBK" w:eastAsia="方正小标宋_GBK"/>
          <w:color w:val="FFFFFF"/>
          <w:sz w:val="32"/>
        </w:rPr>
      </w:pPr>
      <w:bookmarkStart w:id="1" w:name="_Toc535585996"/>
      <w:r>
        <w:rPr>
          <w:rFonts w:hint="eastAsia" w:ascii="方正小标宋_GBK" w:eastAsia="方正小标宋_GBK"/>
          <w:sz w:val="32"/>
        </w:rPr>
        <w:t>部门职责-工作活动绩效目标</w:t>
      </w:r>
      <w:r>
        <w:rPr>
          <w:rStyle w:val="10"/>
          <w:rFonts w:ascii="方正小标宋_GBK" w:eastAsia="方正小标宋_GBK"/>
          <w:color w:val="FFFFFF"/>
          <w:sz w:val="32"/>
        </w:rPr>
        <w:footnoteReference w:id="0" w:customMarkFollows="1"/>
        <w:sym w:font="Symbol" w:char="F020"/>
      </w:r>
      <w:bookmarkEnd w:id="1"/>
    </w:p>
    <w:tbl>
      <w:tblPr>
        <w:tblStyle w:val="11"/>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151</w:t>
            </w:r>
            <w:r>
              <w:rPr>
                <w:rFonts w:hint="eastAsia" w:ascii="方正小标宋_GBK" w:eastAsia="方正小标宋_GBK"/>
                <w:sz w:val="24"/>
              </w:rPr>
              <w:t>复兴区人民检察院</w:t>
            </w:r>
          </w:p>
        </w:tc>
        <w:tc>
          <w:tcPr>
            <w:tcW w:w="2948"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noWrap w:val="0"/>
            <w:vAlign w:val="center"/>
          </w:tcPr>
          <w:p>
            <w:pPr>
              <w:spacing w:line="30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职责活动</w:t>
            </w:r>
          </w:p>
        </w:tc>
        <w:tc>
          <w:tcPr>
            <w:tcW w:w="1276" w:type="dxa"/>
            <w:vMerge w:val="restart"/>
            <w:shd w:val="clear" w:color="auto" w:fill="auto"/>
            <w:noWrap w:val="0"/>
            <w:vAlign w:val="center"/>
          </w:tcPr>
          <w:p>
            <w:pPr>
              <w:spacing w:line="30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年度预算数</w:t>
            </w:r>
          </w:p>
        </w:tc>
        <w:tc>
          <w:tcPr>
            <w:tcW w:w="2976" w:type="dxa"/>
            <w:vMerge w:val="restart"/>
            <w:shd w:val="clear" w:color="auto" w:fill="auto"/>
            <w:noWrap w:val="0"/>
            <w:vAlign w:val="center"/>
          </w:tcPr>
          <w:p>
            <w:pPr>
              <w:spacing w:line="30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内容描述</w:t>
            </w:r>
          </w:p>
        </w:tc>
        <w:tc>
          <w:tcPr>
            <w:tcW w:w="2976" w:type="dxa"/>
            <w:vMerge w:val="restart"/>
            <w:shd w:val="clear" w:color="auto" w:fill="auto"/>
            <w:noWrap w:val="0"/>
            <w:vAlign w:val="center"/>
          </w:tcPr>
          <w:p>
            <w:pPr>
              <w:spacing w:line="30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绩效目标</w:t>
            </w:r>
          </w:p>
        </w:tc>
        <w:tc>
          <w:tcPr>
            <w:tcW w:w="1417" w:type="dxa"/>
            <w:vMerge w:val="restart"/>
            <w:shd w:val="clear" w:color="auto" w:fill="auto"/>
            <w:noWrap w:val="0"/>
            <w:vAlign w:val="center"/>
          </w:tcPr>
          <w:p>
            <w:pPr>
              <w:spacing w:line="30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绩效指标</w:t>
            </w:r>
          </w:p>
        </w:tc>
        <w:tc>
          <w:tcPr>
            <w:tcW w:w="2948" w:type="dxa"/>
            <w:gridSpan w:val="4"/>
            <w:shd w:val="clear" w:color="auto" w:fill="auto"/>
            <w:noWrap w:val="0"/>
            <w:vAlign w:val="center"/>
          </w:tcPr>
          <w:p>
            <w:pPr>
              <w:spacing w:line="30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noWrap w:val="0"/>
            <w:vAlign w:val="center"/>
          </w:tcPr>
          <w:p>
            <w:pPr>
              <w:spacing w:line="300" w:lineRule="exact"/>
              <w:jc w:val="left"/>
              <w:rPr>
                <w:rFonts w:hint="eastAsia" w:ascii="仿宋_GB2312" w:hAnsi="仿宋_GB2312" w:eastAsia="仿宋_GB2312" w:cs="仿宋_GB2312"/>
                <w:b/>
                <w:bCs/>
                <w:sz w:val="24"/>
                <w:szCs w:val="24"/>
              </w:rPr>
            </w:pPr>
          </w:p>
        </w:tc>
        <w:tc>
          <w:tcPr>
            <w:tcW w:w="1276" w:type="dxa"/>
            <w:vMerge w:val="continue"/>
            <w:shd w:val="clear" w:color="auto" w:fill="auto"/>
            <w:noWrap w:val="0"/>
            <w:vAlign w:val="center"/>
          </w:tcPr>
          <w:p>
            <w:pPr>
              <w:spacing w:line="300" w:lineRule="exact"/>
              <w:jc w:val="left"/>
              <w:rPr>
                <w:rFonts w:hint="eastAsia" w:ascii="仿宋_GB2312" w:hAnsi="仿宋_GB2312" w:eastAsia="仿宋_GB2312" w:cs="仿宋_GB2312"/>
                <w:b/>
                <w:bCs/>
                <w:sz w:val="24"/>
                <w:szCs w:val="24"/>
              </w:rPr>
            </w:pPr>
          </w:p>
        </w:tc>
        <w:tc>
          <w:tcPr>
            <w:tcW w:w="2976" w:type="dxa"/>
            <w:vMerge w:val="continue"/>
            <w:shd w:val="clear" w:color="auto" w:fill="auto"/>
            <w:noWrap w:val="0"/>
            <w:vAlign w:val="center"/>
          </w:tcPr>
          <w:p>
            <w:pPr>
              <w:spacing w:line="300" w:lineRule="exact"/>
              <w:jc w:val="left"/>
              <w:rPr>
                <w:rFonts w:hint="eastAsia" w:ascii="仿宋_GB2312" w:hAnsi="仿宋_GB2312" w:eastAsia="仿宋_GB2312" w:cs="仿宋_GB2312"/>
                <w:b/>
                <w:bCs/>
                <w:sz w:val="24"/>
                <w:szCs w:val="24"/>
              </w:rPr>
            </w:pPr>
          </w:p>
        </w:tc>
        <w:tc>
          <w:tcPr>
            <w:tcW w:w="2976" w:type="dxa"/>
            <w:vMerge w:val="continue"/>
            <w:shd w:val="clear" w:color="auto" w:fill="auto"/>
            <w:noWrap w:val="0"/>
            <w:vAlign w:val="center"/>
          </w:tcPr>
          <w:p>
            <w:pPr>
              <w:spacing w:line="300" w:lineRule="exact"/>
              <w:jc w:val="left"/>
              <w:rPr>
                <w:rFonts w:hint="eastAsia" w:ascii="仿宋_GB2312" w:hAnsi="仿宋_GB2312" w:eastAsia="仿宋_GB2312" w:cs="仿宋_GB2312"/>
                <w:b/>
                <w:bCs/>
                <w:sz w:val="24"/>
                <w:szCs w:val="24"/>
              </w:rPr>
            </w:pPr>
          </w:p>
        </w:tc>
        <w:tc>
          <w:tcPr>
            <w:tcW w:w="1417" w:type="dxa"/>
            <w:vMerge w:val="continue"/>
            <w:shd w:val="clear" w:color="auto" w:fill="auto"/>
            <w:noWrap w:val="0"/>
            <w:vAlign w:val="center"/>
          </w:tcPr>
          <w:p>
            <w:pPr>
              <w:spacing w:line="300" w:lineRule="exact"/>
              <w:jc w:val="left"/>
              <w:rPr>
                <w:rFonts w:hint="eastAsia" w:ascii="仿宋_GB2312" w:hAnsi="仿宋_GB2312" w:eastAsia="仿宋_GB2312" w:cs="仿宋_GB2312"/>
                <w:b/>
                <w:bCs/>
                <w:sz w:val="24"/>
                <w:szCs w:val="24"/>
              </w:rPr>
            </w:pPr>
          </w:p>
        </w:tc>
        <w:tc>
          <w:tcPr>
            <w:tcW w:w="737" w:type="dxa"/>
            <w:shd w:val="clear" w:color="auto" w:fill="auto"/>
            <w:noWrap w:val="0"/>
            <w:vAlign w:val="center"/>
          </w:tcPr>
          <w:p>
            <w:pPr>
              <w:spacing w:line="30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优</w:t>
            </w:r>
          </w:p>
        </w:tc>
        <w:tc>
          <w:tcPr>
            <w:tcW w:w="737" w:type="dxa"/>
            <w:shd w:val="clear" w:color="auto" w:fill="auto"/>
            <w:noWrap w:val="0"/>
            <w:vAlign w:val="center"/>
          </w:tcPr>
          <w:p>
            <w:pPr>
              <w:spacing w:line="30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良</w:t>
            </w:r>
          </w:p>
        </w:tc>
        <w:tc>
          <w:tcPr>
            <w:tcW w:w="737" w:type="dxa"/>
            <w:shd w:val="clear" w:color="auto" w:fill="auto"/>
            <w:noWrap w:val="0"/>
            <w:vAlign w:val="center"/>
          </w:tcPr>
          <w:p>
            <w:pPr>
              <w:spacing w:line="30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中</w:t>
            </w:r>
          </w:p>
        </w:tc>
        <w:tc>
          <w:tcPr>
            <w:tcW w:w="737" w:type="dxa"/>
            <w:shd w:val="clear" w:color="auto" w:fill="auto"/>
            <w:noWrap w:val="0"/>
            <w:vAlign w:val="center"/>
          </w:tcPr>
          <w:p>
            <w:pPr>
              <w:spacing w:line="30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1、查办职务犯罪</w:t>
            </w:r>
          </w:p>
        </w:tc>
        <w:tc>
          <w:tcPr>
            <w:tcW w:w="1276" w:type="dxa"/>
            <w:shd w:val="clear" w:color="auto" w:fill="auto"/>
            <w:noWrap w:val="0"/>
            <w:vAlign w:val="center"/>
          </w:tcPr>
          <w:p>
            <w:pPr>
              <w:spacing w:line="300" w:lineRule="exact"/>
              <w:jc w:val="left"/>
              <w:rPr>
                <w:rFonts w:hint="eastAsia" w:ascii="仿宋_GB2312" w:hAnsi="仿宋_GB2312" w:eastAsia="仿宋_GB2312" w:cs="仿宋_GB2312"/>
                <w:b/>
                <w:bCs/>
                <w:sz w:val="24"/>
                <w:szCs w:val="24"/>
              </w:rPr>
            </w:pPr>
          </w:p>
        </w:tc>
        <w:tc>
          <w:tcPr>
            <w:tcW w:w="2976"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参与办理重大职务犯罪案件的侦查及个案协查工作；指导全县在逃职务犯罪案件追逃追赃工作，推进全县侦查信息化和装备现代化建设。</w:t>
            </w:r>
          </w:p>
        </w:tc>
        <w:tc>
          <w:tcPr>
            <w:tcW w:w="2976"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挽回经济损失，促进国家工作人员依法行使职权</w:t>
            </w:r>
          </w:p>
        </w:tc>
        <w:tc>
          <w:tcPr>
            <w:tcW w:w="141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立案有罪判决率</w:t>
            </w: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2、预防职务犯罪</w:t>
            </w:r>
          </w:p>
        </w:tc>
        <w:tc>
          <w:tcPr>
            <w:tcW w:w="1276" w:type="dxa"/>
            <w:shd w:val="clear" w:color="auto" w:fill="auto"/>
            <w:noWrap w:val="0"/>
            <w:vAlign w:val="center"/>
          </w:tcPr>
          <w:p>
            <w:pPr>
              <w:spacing w:line="300" w:lineRule="exact"/>
              <w:jc w:val="left"/>
              <w:rPr>
                <w:rFonts w:hint="eastAsia" w:ascii="仿宋_GB2312" w:hAnsi="仿宋_GB2312" w:eastAsia="仿宋_GB2312" w:cs="仿宋_GB2312"/>
                <w:b/>
                <w:bCs/>
                <w:sz w:val="24"/>
                <w:szCs w:val="24"/>
              </w:rPr>
            </w:pPr>
          </w:p>
        </w:tc>
        <w:tc>
          <w:tcPr>
            <w:tcW w:w="2976"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履行检察机关重要的法律监督职能，采取多种方式，预防可能发生的职务犯罪。</w:t>
            </w:r>
          </w:p>
        </w:tc>
        <w:tc>
          <w:tcPr>
            <w:tcW w:w="2976"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从源头上遏制和减少职务犯罪</w:t>
            </w:r>
          </w:p>
        </w:tc>
        <w:tc>
          <w:tcPr>
            <w:tcW w:w="141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行动次数</w:t>
            </w: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一、检察监督</w:t>
            </w:r>
          </w:p>
        </w:tc>
        <w:tc>
          <w:tcPr>
            <w:tcW w:w="1276" w:type="dxa"/>
            <w:shd w:val="clear" w:color="auto" w:fill="auto"/>
            <w:noWrap w:val="0"/>
            <w:vAlign w:val="center"/>
          </w:tcPr>
          <w:p>
            <w:pPr>
              <w:spacing w:line="30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234.45</w:t>
            </w:r>
          </w:p>
        </w:tc>
        <w:tc>
          <w:tcPr>
            <w:tcW w:w="2976"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对侦查机关的侦查活动、人民法院的审判活动、监狱看守所等机关执行刑罚的活动，依法实行法律监督，维护司法公正。</w:t>
            </w:r>
          </w:p>
        </w:tc>
        <w:tc>
          <w:tcPr>
            <w:tcW w:w="2976"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通过行使检察权，惩罚犯罪活动，保护国家安全，保护公民、法人和其他组织的合法权益，保障国家法律的正确实施。</w:t>
            </w:r>
          </w:p>
        </w:tc>
        <w:tc>
          <w:tcPr>
            <w:tcW w:w="141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1、侦查监督</w:t>
            </w:r>
          </w:p>
        </w:tc>
        <w:tc>
          <w:tcPr>
            <w:tcW w:w="1276" w:type="dxa"/>
            <w:shd w:val="clear" w:color="auto" w:fill="auto"/>
            <w:noWrap w:val="0"/>
            <w:vAlign w:val="center"/>
          </w:tcPr>
          <w:p>
            <w:pPr>
              <w:spacing w:line="30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109.34</w:t>
            </w:r>
          </w:p>
        </w:tc>
        <w:tc>
          <w:tcPr>
            <w:tcW w:w="2976"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侦查监督职能的行使贯穿刑事立案到侦查终结全过程。主要包括审查逮捕、立案监督和侦查活动监督等职能。</w:t>
            </w:r>
          </w:p>
        </w:tc>
        <w:tc>
          <w:tcPr>
            <w:tcW w:w="2976"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保障人权、维护司法公正</w:t>
            </w:r>
          </w:p>
        </w:tc>
        <w:tc>
          <w:tcPr>
            <w:tcW w:w="141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完成准确率</w:t>
            </w: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2、公诉和审判监督</w:t>
            </w:r>
          </w:p>
        </w:tc>
        <w:tc>
          <w:tcPr>
            <w:tcW w:w="1276" w:type="dxa"/>
            <w:shd w:val="clear" w:color="auto" w:fill="auto"/>
            <w:noWrap w:val="0"/>
            <w:vAlign w:val="center"/>
          </w:tcPr>
          <w:p>
            <w:pPr>
              <w:spacing w:line="30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125.11</w:t>
            </w:r>
          </w:p>
        </w:tc>
        <w:tc>
          <w:tcPr>
            <w:tcW w:w="2976"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审查起诉；对上诉、抗诉案件及再审案件进行审查；出庭支持公诉</w:t>
            </w:r>
          </w:p>
        </w:tc>
        <w:tc>
          <w:tcPr>
            <w:tcW w:w="2976"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全面审查案件事实，核实证据</w:t>
            </w:r>
          </w:p>
        </w:tc>
        <w:tc>
          <w:tcPr>
            <w:tcW w:w="141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公诉完成率</w:t>
            </w: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3、民事行政诉讼监督</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依法对民事诉讼和行政诉讼实行法律监督，维护司法公正和司法权威，保障国家法律的统一正确实施</w:t>
            </w:r>
          </w:p>
        </w:tc>
        <w:tc>
          <w:tcPr>
            <w:tcW w:w="2976"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保障国家法律的统一正确实施</w:t>
            </w:r>
          </w:p>
        </w:tc>
        <w:tc>
          <w:tcPr>
            <w:tcW w:w="141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建议采纳率</w:t>
            </w: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4、未成年人刑事检察</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理全县检察机关未成年人犯罪案件的审查逮捕、审查起诉工作，依法履行立案监督、侦查活动监督、审判监督、执行监督职能；开展预防未成年人犯罪综合治理工作；依法保护刑事案件未成年被害人的合法权益。</w:t>
            </w:r>
          </w:p>
        </w:tc>
        <w:tc>
          <w:tcPr>
            <w:tcW w:w="2976"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完成移交未成年人案件侦查监督任务</w:t>
            </w:r>
          </w:p>
        </w:tc>
        <w:tc>
          <w:tcPr>
            <w:tcW w:w="141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侦查监督完成率</w:t>
            </w: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二、控告和刑事申诉检察</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组织和指导全县控申部门受理来信来访、举报、刑事申诉、国家赔偿、司法救助工作，受理民事监督案件，办理信访、举报案件、刑事申诉案件、国家赔偿、司法救助案件以及上级机关交办、转办、督办案件。</w:t>
            </w:r>
          </w:p>
        </w:tc>
        <w:tc>
          <w:tcPr>
            <w:tcW w:w="2976"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保护公民、法人和其他单位的合法权益，促进司法公正，维护社会稳定</w:t>
            </w:r>
          </w:p>
        </w:tc>
        <w:tc>
          <w:tcPr>
            <w:tcW w:w="141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1、涉检信访办理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受理报案、控告、举报、申诉和犯罪嫌疑人投案自首，办理对公检法三机关及工作人员阻碍辩护人、诉讼代理人依法行使诉讼权利的控告或申诉，办理对本院办案中违法行为的控告或申诉，受理民事监督案件。</w:t>
            </w:r>
          </w:p>
        </w:tc>
        <w:tc>
          <w:tcPr>
            <w:tcW w:w="2976"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解决群众诉求</w:t>
            </w:r>
          </w:p>
        </w:tc>
        <w:tc>
          <w:tcPr>
            <w:tcW w:w="141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化解矛盾率</w:t>
            </w: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2、举报管理、刑事申诉及涉检国家赔偿和司法救助</w:t>
            </w:r>
          </w:p>
        </w:tc>
        <w:tc>
          <w:tcPr>
            <w:tcW w:w="1276" w:type="dxa"/>
            <w:shd w:val="clear" w:color="auto" w:fill="auto"/>
            <w:noWrap w:val="0"/>
            <w:vAlign w:val="center"/>
          </w:tcPr>
          <w:p>
            <w:pPr>
              <w:spacing w:line="300" w:lineRule="exact"/>
              <w:jc w:val="left"/>
              <w:rPr>
                <w:rFonts w:hint="eastAsia" w:ascii="仿宋_GB2312" w:hAnsi="仿宋_GB2312" w:eastAsia="仿宋_GB2312" w:cs="仿宋_GB2312"/>
                <w:b/>
                <w:bCs/>
                <w:sz w:val="24"/>
                <w:szCs w:val="24"/>
              </w:rPr>
            </w:pPr>
          </w:p>
        </w:tc>
        <w:tc>
          <w:tcPr>
            <w:tcW w:w="2976"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受理初核对国家工作人员职务犯罪的举报；受理、审查和复查当事人不服的刑事申诉案件；统一办理人民检察院作为赔偿义务机关的刑事赔偿、复议案件，对人民法院赔偿委员会判决、裁定进行监督，开展司法救助工作。</w:t>
            </w:r>
          </w:p>
        </w:tc>
        <w:tc>
          <w:tcPr>
            <w:tcW w:w="2976"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保护被赔偿人和被救助人合法权益</w:t>
            </w:r>
          </w:p>
        </w:tc>
        <w:tc>
          <w:tcPr>
            <w:tcW w:w="141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处置率</w:t>
            </w: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三、检查事务管理</w:t>
            </w:r>
          </w:p>
        </w:tc>
        <w:tc>
          <w:tcPr>
            <w:tcW w:w="1276" w:type="dxa"/>
            <w:shd w:val="clear" w:color="auto" w:fill="auto"/>
            <w:noWrap w:val="0"/>
            <w:vAlign w:val="center"/>
          </w:tcPr>
          <w:p>
            <w:pPr>
              <w:spacing w:line="30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43.99</w:t>
            </w:r>
          </w:p>
        </w:tc>
        <w:tc>
          <w:tcPr>
            <w:tcW w:w="2976"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承担系统综合业务管理和综合事务管理工作。</w:t>
            </w:r>
          </w:p>
        </w:tc>
        <w:tc>
          <w:tcPr>
            <w:tcW w:w="2976"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确保全年各项检察工作圆满完成</w:t>
            </w:r>
          </w:p>
        </w:tc>
        <w:tc>
          <w:tcPr>
            <w:tcW w:w="141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1、综合业务管理</w:t>
            </w:r>
          </w:p>
        </w:tc>
        <w:tc>
          <w:tcPr>
            <w:tcW w:w="1276" w:type="dxa"/>
            <w:shd w:val="clear" w:color="auto" w:fill="auto"/>
            <w:noWrap w:val="0"/>
            <w:vAlign w:val="center"/>
          </w:tcPr>
          <w:p>
            <w:pPr>
              <w:spacing w:line="30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43.99</w:t>
            </w:r>
          </w:p>
        </w:tc>
        <w:tc>
          <w:tcPr>
            <w:tcW w:w="2976"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确定本院检察阶段性的工作重点和措施，部署检察工作任务；进行案件质量保证体系建设；开展涉农检察工作；参与社会管理综合治理等工作；进行法律政策研究工作；加强人民监督员和人大代表监督；统筹进行网络信息化建设；开展检察宣传工作、推进检务公开</w:t>
            </w:r>
          </w:p>
        </w:tc>
        <w:tc>
          <w:tcPr>
            <w:tcW w:w="2976"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p>
        </w:tc>
        <w:tc>
          <w:tcPr>
            <w:tcW w:w="141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p>
        </w:tc>
        <w:tc>
          <w:tcPr>
            <w:tcW w:w="737"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hint="eastAsia" w:ascii="仿宋_GB2312" w:hAnsi="仿宋_GB2312" w:eastAsia="仿宋_GB2312" w:cs="仿宋_GB2312"/>
                <w:b/>
                <w:bCs/>
                <w:sz w:val="24"/>
                <w:szCs w:val="24"/>
              </w:rPr>
              <w:t>　2、综合事务管理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负责本院检察人员的教育培训工作；进行检察装备建设及维护；配备制式检察服装及法警服装；进行基础设施维修和维护；做好本院的财务、装备计划和管理工作；以及由本院承办的其他事项。</w:t>
            </w:r>
          </w:p>
        </w:tc>
        <w:tc>
          <w:tcPr>
            <w:tcW w:w="2976" w:type="dxa"/>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bookmarkEnd w:id="0"/>
    </w:tbl>
    <w:p>
      <w:pPr>
        <w:spacing w:line="560" w:lineRule="exact"/>
        <w:jc w:val="both"/>
        <w:outlineLvl w:val="0"/>
        <w:rPr>
          <w:rFonts w:ascii="方正小标宋_GBK" w:hAnsi="Times New Roman" w:eastAsia="方正小标宋_GBK"/>
          <w:sz w:val="32"/>
          <w:szCs w:val="24"/>
        </w:rPr>
      </w:pPr>
    </w:p>
    <w:p>
      <w:pPr>
        <w:autoSpaceDE w:val="0"/>
        <w:autoSpaceDN w:val="0"/>
        <w:adjustRightInd w:val="0"/>
        <w:spacing w:line="560" w:lineRule="exact"/>
        <w:ind w:firstLine="640" w:firstLineChars="200"/>
        <w:jc w:val="left"/>
        <w:rPr>
          <w:rFonts w:ascii="黑体" w:hAnsi="黑体" w:eastAsia="黑体"/>
          <w:sz w:val="32"/>
          <w:szCs w:val="32"/>
        </w:rPr>
      </w:pPr>
      <w:r>
        <w:rPr>
          <w:rFonts w:hint="eastAsia" w:ascii="黑体" w:hAnsi="黑体" w:eastAsia="黑体"/>
          <w:sz w:val="32"/>
          <w:szCs w:val="32"/>
        </w:rPr>
        <w:t>六、政府采购预算情况</w:t>
      </w:r>
    </w:p>
    <w:p>
      <w:pPr>
        <w:spacing w:line="560" w:lineRule="exact"/>
        <w:outlineLvl w:val="0"/>
        <w:rPr>
          <w:rFonts w:ascii="Times New Roman" w:hAnsi="Times New Roman" w:eastAsia="方正仿宋_GBK"/>
          <w:sz w:val="32"/>
          <w:szCs w:val="24"/>
        </w:rPr>
      </w:pPr>
      <w:bookmarkStart w:id="2" w:name="_Toc471398468"/>
      <w:r>
        <w:rPr>
          <w:rFonts w:ascii="Times New Roman" w:hAnsi="Times New Roman" w:eastAsia="方正仿宋_GBK"/>
          <w:sz w:val="32"/>
          <w:szCs w:val="24"/>
        </w:rPr>
        <w:t xml:space="preserve">    </w:t>
      </w:r>
      <w:r>
        <w:rPr>
          <w:rFonts w:ascii="仿宋" w:hAnsi="仿宋" w:eastAsia="仿宋" w:cs="仿宋"/>
          <w:sz w:val="32"/>
          <w:szCs w:val="24"/>
        </w:rPr>
        <w:t>201</w:t>
      </w:r>
      <w:r>
        <w:rPr>
          <w:rFonts w:hint="eastAsia" w:ascii="仿宋" w:hAnsi="仿宋" w:eastAsia="仿宋" w:cs="仿宋"/>
          <w:sz w:val="32"/>
          <w:szCs w:val="24"/>
          <w:lang w:val="en-US" w:eastAsia="zh-CN"/>
        </w:rPr>
        <w:t>9</w:t>
      </w:r>
      <w:r>
        <w:rPr>
          <w:rFonts w:hint="eastAsia" w:ascii="仿宋" w:hAnsi="仿宋" w:eastAsia="仿宋" w:cs="仿宋"/>
          <w:sz w:val="32"/>
          <w:szCs w:val="24"/>
        </w:rPr>
        <w:t>年，我部门政府采购预算</w:t>
      </w:r>
      <w:r>
        <w:rPr>
          <w:rFonts w:hint="eastAsia" w:ascii="仿宋" w:hAnsi="仿宋" w:eastAsia="仿宋" w:cs="仿宋"/>
          <w:sz w:val="32"/>
          <w:szCs w:val="24"/>
          <w:lang w:val="en-US" w:eastAsia="zh-CN"/>
        </w:rPr>
        <w:t>113万元，</w:t>
      </w:r>
      <w:r>
        <w:rPr>
          <w:rFonts w:hint="eastAsia" w:ascii="仿宋" w:hAnsi="仿宋" w:eastAsia="仿宋" w:cs="仿宋"/>
          <w:sz w:val="32"/>
          <w:szCs w:val="32"/>
        </w:rPr>
        <w:t>拟购置固定资产</w:t>
      </w:r>
      <w:r>
        <w:rPr>
          <w:rFonts w:hint="eastAsia" w:ascii="仿宋" w:hAnsi="仿宋" w:eastAsia="仿宋" w:cs="仿宋"/>
          <w:sz w:val="32"/>
          <w:szCs w:val="32"/>
          <w:lang w:val="en-US" w:eastAsia="zh-CN"/>
        </w:rPr>
        <w:t>113万元</w:t>
      </w:r>
      <w:r>
        <w:rPr>
          <w:rFonts w:hint="eastAsia" w:ascii="仿宋" w:hAnsi="仿宋" w:eastAsia="仿宋" w:cs="仿宋"/>
          <w:sz w:val="32"/>
          <w:szCs w:val="24"/>
        </w:rPr>
        <w:t>。</w:t>
      </w:r>
    </w:p>
    <w:bookmarkEnd w:id="2"/>
    <w:p>
      <w:pPr>
        <w:autoSpaceDE w:val="0"/>
        <w:autoSpaceDN w:val="0"/>
        <w:adjustRightInd w:val="0"/>
        <w:spacing w:line="560" w:lineRule="exact"/>
        <w:ind w:firstLine="640" w:firstLineChars="200"/>
        <w:jc w:val="left"/>
        <w:rPr>
          <w:rFonts w:ascii="黑体" w:hAnsi="黑体" w:eastAsia="黑体"/>
          <w:sz w:val="32"/>
          <w:szCs w:val="32"/>
        </w:rPr>
      </w:pPr>
      <w:r>
        <w:rPr>
          <w:rFonts w:hint="eastAsia" w:ascii="黑体" w:hAnsi="黑体" w:eastAsia="黑体"/>
          <w:sz w:val="32"/>
          <w:szCs w:val="32"/>
        </w:rPr>
        <w:t>七、国有资产信息</w:t>
      </w:r>
    </w:p>
    <w:p>
      <w:pPr>
        <w:widowControl/>
        <w:ind w:firstLine="640" w:firstLineChars="200"/>
        <w:rPr>
          <w:rFonts w:ascii="仿宋" w:hAnsi="仿宋" w:eastAsia="仿宋" w:cs="仿宋"/>
          <w:sz w:val="32"/>
          <w:szCs w:val="32"/>
        </w:rPr>
      </w:pPr>
      <w:r>
        <w:rPr>
          <w:rFonts w:hint="eastAsia" w:ascii="仿宋" w:hAnsi="仿宋" w:eastAsia="仿宋" w:cs="仿宋"/>
          <w:sz w:val="32"/>
          <w:szCs w:val="32"/>
        </w:rPr>
        <w:t>我单位上年末固定资产金额为</w:t>
      </w:r>
      <w:r>
        <w:rPr>
          <w:rFonts w:hint="eastAsia" w:ascii="仿宋" w:hAnsi="仿宋" w:eastAsia="仿宋" w:cs="仿宋"/>
          <w:sz w:val="32"/>
          <w:szCs w:val="32"/>
          <w:lang w:val="en-US" w:eastAsia="zh-CN"/>
        </w:rPr>
        <w:t>635.30</w:t>
      </w:r>
      <w:r>
        <w:rPr>
          <w:rFonts w:hint="eastAsia" w:ascii="仿宋" w:hAnsi="仿宋" w:eastAsia="仿宋" w:cs="仿宋"/>
          <w:sz w:val="32"/>
          <w:szCs w:val="32"/>
        </w:rPr>
        <w:t>万元，本年度拟购置固定资产预算</w:t>
      </w:r>
      <w:r>
        <w:rPr>
          <w:rFonts w:hint="eastAsia" w:ascii="仿宋" w:hAnsi="仿宋" w:eastAsia="仿宋" w:cs="仿宋"/>
          <w:sz w:val="32"/>
          <w:szCs w:val="32"/>
          <w:lang w:val="en-US" w:eastAsia="zh-CN"/>
        </w:rPr>
        <w:t>113万元</w:t>
      </w:r>
      <w:r>
        <w:rPr>
          <w:rFonts w:hint="eastAsia" w:ascii="仿宋" w:hAnsi="仿宋" w:eastAsia="仿宋" w:cs="仿宋"/>
          <w:sz w:val="32"/>
          <w:szCs w:val="32"/>
        </w:rPr>
        <w:t>。详见下表：</w:t>
      </w:r>
    </w:p>
    <w:p>
      <w:pPr>
        <w:spacing w:line="560" w:lineRule="exact"/>
        <w:ind w:firstLine="640"/>
        <w:rPr>
          <w:rFonts w:ascii="仿宋_GB2312" w:hAnsi="黑体" w:eastAsia="仿宋_GB2312"/>
          <w:sz w:val="32"/>
          <w:szCs w:val="32"/>
        </w:rPr>
      </w:pPr>
    </w:p>
    <w:tbl>
      <w:tblPr>
        <w:tblStyle w:val="11"/>
        <w:tblW w:w="9060" w:type="dxa"/>
        <w:jc w:val="center"/>
        <w:tblInd w:w="0" w:type="dxa"/>
        <w:tblLayout w:type="fixed"/>
        <w:tblCellMar>
          <w:top w:w="0" w:type="dxa"/>
          <w:left w:w="108" w:type="dxa"/>
          <w:bottom w:w="0" w:type="dxa"/>
          <w:right w:w="108" w:type="dxa"/>
        </w:tblCellMar>
      </w:tblPr>
      <w:tblGrid>
        <w:gridCol w:w="4139"/>
        <w:gridCol w:w="855"/>
        <w:gridCol w:w="4066"/>
      </w:tblGrid>
      <w:tr>
        <w:tblPrEx>
          <w:tblLayout w:type="fixed"/>
          <w:tblCellMar>
            <w:top w:w="0" w:type="dxa"/>
            <w:left w:w="108" w:type="dxa"/>
            <w:bottom w:w="0" w:type="dxa"/>
            <w:right w:w="108" w:type="dxa"/>
          </w:tblCellMar>
        </w:tblPrEx>
        <w:trPr>
          <w:trHeight w:val="705" w:hRule="atLeast"/>
          <w:jc w:val="center"/>
        </w:trPr>
        <w:tc>
          <w:tcPr>
            <w:tcW w:w="9060" w:type="dxa"/>
            <w:gridSpan w:val="3"/>
            <w:tcBorders>
              <w:top w:val="nil"/>
              <w:left w:val="nil"/>
              <w:bottom w:val="nil"/>
              <w:right w:val="nil"/>
            </w:tcBorders>
            <w:vAlign w:val="center"/>
          </w:tcPr>
          <w:p>
            <w:pPr>
              <w:widowControl/>
              <w:ind w:firstLine="2570" w:firstLineChars="800"/>
              <w:rPr>
                <w:rFonts w:ascii="宋体" w:cs="宋体"/>
                <w:b/>
                <w:bCs/>
                <w:kern w:val="0"/>
                <w:sz w:val="32"/>
                <w:szCs w:val="32"/>
              </w:rPr>
            </w:pPr>
            <w:r>
              <w:rPr>
                <w:rFonts w:hint="eastAsia" w:ascii="宋体" w:hAnsi="宋体" w:cs="宋体"/>
                <w:b/>
                <w:bCs/>
                <w:kern w:val="0"/>
                <w:sz w:val="32"/>
                <w:szCs w:val="32"/>
              </w:rPr>
              <w:t>部门固定资产占用情况表</w:t>
            </w:r>
          </w:p>
        </w:tc>
      </w:tr>
      <w:tr>
        <w:tblPrEx>
          <w:tblLayout w:type="fixed"/>
          <w:tblCellMar>
            <w:top w:w="0" w:type="dxa"/>
            <w:left w:w="108" w:type="dxa"/>
            <w:bottom w:w="0" w:type="dxa"/>
            <w:right w:w="108" w:type="dxa"/>
          </w:tblCellMar>
        </w:tblPrEx>
        <w:trPr>
          <w:trHeight w:val="510" w:hRule="atLeast"/>
          <w:jc w:val="center"/>
        </w:trPr>
        <w:tc>
          <w:tcPr>
            <w:tcW w:w="4994" w:type="dxa"/>
            <w:gridSpan w:val="2"/>
            <w:tcBorders>
              <w:top w:val="nil"/>
              <w:left w:val="nil"/>
              <w:bottom w:val="nil"/>
              <w:right w:val="nil"/>
            </w:tcBorders>
            <w:vAlign w:val="center"/>
          </w:tcPr>
          <w:p>
            <w:pPr>
              <w:widowControl/>
              <w:jc w:val="left"/>
              <w:rPr>
                <w:rFonts w:ascii="宋体" w:cs="宋体"/>
                <w:kern w:val="0"/>
                <w:sz w:val="22"/>
              </w:rPr>
            </w:pPr>
            <w:r>
              <w:rPr>
                <w:rFonts w:hint="eastAsia" w:ascii="宋体" w:hAnsi="宋体" w:cs="宋体"/>
                <w:kern w:val="0"/>
                <w:sz w:val="22"/>
              </w:rPr>
              <w:t>编制部门：复兴区人民检察院</w:t>
            </w:r>
          </w:p>
        </w:tc>
        <w:tc>
          <w:tcPr>
            <w:tcW w:w="4066" w:type="dxa"/>
            <w:tcBorders>
              <w:top w:val="nil"/>
              <w:left w:val="nil"/>
              <w:bottom w:val="nil"/>
              <w:right w:val="nil"/>
            </w:tcBorders>
            <w:vAlign w:val="center"/>
          </w:tcPr>
          <w:p>
            <w:pPr>
              <w:widowControl/>
              <w:ind w:firstLine="550" w:firstLineChars="250"/>
              <w:jc w:val="left"/>
              <w:rPr>
                <w:rFonts w:ascii="宋体" w:hAnsi="宋体" w:cs="宋体"/>
                <w:kern w:val="0"/>
                <w:sz w:val="22"/>
              </w:rPr>
            </w:pPr>
            <w:r>
              <w:rPr>
                <w:rFonts w:hint="eastAsia" w:ascii="宋体" w:hAnsi="宋体" w:cs="宋体"/>
                <w:kern w:val="0"/>
                <w:sz w:val="22"/>
              </w:rPr>
              <w:t>截止时间：</w:t>
            </w:r>
            <w:r>
              <w:rPr>
                <w:rFonts w:hint="eastAsia" w:ascii="宋体" w:hAnsi="宋体" w:cs="宋体"/>
                <w:kern w:val="0"/>
                <w:sz w:val="22"/>
                <w:lang w:eastAsia="zh-CN"/>
              </w:rPr>
              <w:t>2018</w:t>
            </w:r>
            <w:r>
              <w:rPr>
                <w:rFonts w:hint="eastAsia" w:ascii="宋体" w:hAnsi="宋体" w:cs="宋体"/>
                <w:kern w:val="0"/>
                <w:sz w:val="22"/>
              </w:rPr>
              <w:t>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r>
              <w:rPr>
                <w:rFonts w:ascii="宋体" w:hAnsi="宋体" w:cs="宋体"/>
                <w:kern w:val="0"/>
                <w:sz w:val="22"/>
              </w:rPr>
              <w:t xml:space="preserve">  </w:t>
            </w:r>
          </w:p>
        </w:tc>
      </w:tr>
      <w:tr>
        <w:tblPrEx>
          <w:tblLayout w:type="fixed"/>
          <w:tblCellMar>
            <w:top w:w="0" w:type="dxa"/>
            <w:left w:w="108" w:type="dxa"/>
            <w:bottom w:w="0" w:type="dxa"/>
            <w:right w:w="108" w:type="dxa"/>
          </w:tblCellMar>
        </w:tblPrEx>
        <w:trPr>
          <w:trHeight w:val="645" w:hRule="atLeast"/>
          <w:jc w:val="center"/>
        </w:trPr>
        <w:tc>
          <w:tcPr>
            <w:tcW w:w="41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w:t>
            </w:r>
            <w:r>
              <w:rPr>
                <w:rFonts w:ascii="宋体" w:hAnsi="宋体" w:cs="宋体"/>
                <w:b/>
                <w:bCs/>
                <w:kern w:val="0"/>
                <w:sz w:val="22"/>
              </w:rPr>
              <w:t xml:space="preserve">   </w:t>
            </w:r>
            <w:r>
              <w:rPr>
                <w:rFonts w:hint="eastAsia" w:ascii="宋体" w:hAnsi="宋体" w:cs="宋体"/>
                <w:b/>
                <w:bCs/>
                <w:kern w:val="0"/>
                <w:sz w:val="22"/>
              </w:rPr>
              <w:t>目</w:t>
            </w:r>
          </w:p>
        </w:tc>
        <w:tc>
          <w:tcPr>
            <w:tcW w:w="8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4066"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资产总额</w:t>
            </w:r>
          </w:p>
        </w:tc>
        <w:tc>
          <w:tcPr>
            <w:tcW w:w="8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w:t>
            </w:r>
          </w:p>
        </w:tc>
        <w:tc>
          <w:tcPr>
            <w:tcW w:w="406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eastAsia="zh-CN"/>
              </w:rPr>
            </w:pPr>
            <w:r>
              <w:rPr>
                <w:rFonts w:hint="eastAsia" w:ascii="宋体" w:hAnsi="宋体" w:cs="宋体"/>
                <w:kern w:val="0"/>
                <w:sz w:val="22"/>
                <w:lang w:eastAsia="zh-CN"/>
              </w:rPr>
              <w:t>635.30</w:t>
            </w:r>
          </w:p>
        </w:tc>
      </w:tr>
      <w:tr>
        <w:tblPrEx>
          <w:tblLayout w:type="fixed"/>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855" w:type="dxa"/>
            <w:tcBorders>
              <w:top w:val="nil"/>
              <w:left w:val="nil"/>
              <w:bottom w:val="single" w:color="auto" w:sz="4" w:space="0"/>
              <w:right w:val="single" w:color="auto" w:sz="4" w:space="0"/>
            </w:tcBorders>
            <w:vAlign w:val="center"/>
          </w:tcPr>
          <w:p>
            <w:pPr>
              <w:widowControl/>
              <w:jc w:val="center"/>
              <w:rPr>
                <w:rFonts w:ascii="宋体" w:cs="宋体"/>
                <w:kern w:val="0"/>
                <w:sz w:val="22"/>
              </w:rPr>
            </w:pPr>
          </w:p>
        </w:tc>
        <w:tc>
          <w:tcPr>
            <w:tcW w:w="4066" w:type="dxa"/>
            <w:tcBorders>
              <w:top w:val="nil"/>
              <w:left w:val="nil"/>
              <w:bottom w:val="single" w:color="auto" w:sz="4" w:space="0"/>
              <w:right w:val="single" w:color="auto" w:sz="4" w:space="0"/>
            </w:tcBorders>
            <w:vAlign w:val="center"/>
          </w:tcPr>
          <w:p>
            <w:pPr>
              <w:widowControl/>
              <w:jc w:val="center"/>
              <w:rPr>
                <w:rFonts w:ascii="宋体" w:cs="宋体"/>
                <w:kern w:val="0"/>
                <w:sz w:val="22"/>
              </w:rPr>
            </w:pPr>
          </w:p>
        </w:tc>
      </w:tr>
      <w:tr>
        <w:tblPrEx>
          <w:tblLayout w:type="fixed"/>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其中：办公用房（平方米）</w:t>
            </w:r>
          </w:p>
        </w:tc>
        <w:tc>
          <w:tcPr>
            <w:tcW w:w="855" w:type="dxa"/>
            <w:tcBorders>
              <w:top w:val="nil"/>
              <w:left w:val="nil"/>
              <w:bottom w:val="single" w:color="auto" w:sz="4" w:space="0"/>
              <w:right w:val="single" w:color="auto" w:sz="4" w:space="0"/>
            </w:tcBorders>
            <w:vAlign w:val="center"/>
          </w:tcPr>
          <w:p>
            <w:pPr>
              <w:widowControl/>
              <w:jc w:val="center"/>
              <w:rPr>
                <w:rFonts w:ascii="宋体" w:cs="宋体"/>
                <w:kern w:val="0"/>
                <w:sz w:val="22"/>
              </w:rPr>
            </w:pPr>
          </w:p>
        </w:tc>
        <w:tc>
          <w:tcPr>
            <w:tcW w:w="4066" w:type="dxa"/>
            <w:tcBorders>
              <w:top w:val="nil"/>
              <w:left w:val="nil"/>
              <w:bottom w:val="single" w:color="auto" w:sz="4" w:space="0"/>
              <w:right w:val="single" w:color="auto" w:sz="4" w:space="0"/>
            </w:tcBorders>
            <w:vAlign w:val="center"/>
          </w:tcPr>
          <w:p>
            <w:pPr>
              <w:widowControl/>
              <w:jc w:val="center"/>
              <w:rPr>
                <w:rFonts w:ascii="宋体" w:cs="宋体"/>
                <w:kern w:val="0"/>
                <w:sz w:val="22"/>
              </w:rPr>
            </w:pPr>
          </w:p>
        </w:tc>
      </w:tr>
      <w:tr>
        <w:tblPrEx>
          <w:tblLayout w:type="fixed"/>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855" w:type="dxa"/>
            <w:tcBorders>
              <w:top w:val="nil"/>
              <w:left w:val="nil"/>
              <w:bottom w:val="single" w:color="auto" w:sz="4" w:space="0"/>
              <w:right w:val="single" w:color="auto" w:sz="4" w:space="0"/>
            </w:tcBorders>
            <w:vAlign w:val="center"/>
          </w:tcPr>
          <w:p>
            <w:pPr>
              <w:widowControl/>
              <w:jc w:val="center"/>
              <w:rPr>
                <w:rFonts w:ascii="宋体" w:cs="宋体"/>
                <w:kern w:val="0"/>
                <w:sz w:val="22"/>
              </w:rPr>
            </w:pPr>
          </w:p>
        </w:tc>
        <w:tc>
          <w:tcPr>
            <w:tcW w:w="406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206.92</w:t>
            </w:r>
          </w:p>
        </w:tc>
      </w:tr>
      <w:tr>
        <w:tblPrEx>
          <w:tblLayout w:type="fixed"/>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50</w:t>
            </w:r>
            <w:r>
              <w:rPr>
                <w:rFonts w:hint="eastAsia" w:ascii="宋体" w:hAnsi="宋体" w:cs="宋体"/>
                <w:kern w:val="0"/>
                <w:sz w:val="22"/>
              </w:rPr>
              <w:t>万元以上的设备</w:t>
            </w:r>
          </w:p>
        </w:tc>
        <w:tc>
          <w:tcPr>
            <w:tcW w:w="855" w:type="dxa"/>
            <w:tcBorders>
              <w:top w:val="nil"/>
              <w:left w:val="nil"/>
              <w:bottom w:val="single" w:color="auto" w:sz="4" w:space="0"/>
              <w:right w:val="single" w:color="auto" w:sz="4" w:space="0"/>
            </w:tcBorders>
            <w:vAlign w:val="center"/>
          </w:tcPr>
          <w:p>
            <w:pPr>
              <w:widowControl/>
              <w:jc w:val="center"/>
              <w:rPr>
                <w:rFonts w:ascii="宋体" w:cs="宋体"/>
                <w:kern w:val="0"/>
                <w:sz w:val="22"/>
              </w:rPr>
            </w:pPr>
          </w:p>
        </w:tc>
        <w:tc>
          <w:tcPr>
            <w:tcW w:w="4066" w:type="dxa"/>
            <w:tcBorders>
              <w:top w:val="nil"/>
              <w:left w:val="nil"/>
              <w:bottom w:val="single" w:color="auto" w:sz="4" w:space="0"/>
              <w:right w:val="single" w:color="auto" w:sz="4" w:space="0"/>
            </w:tcBorders>
            <w:vAlign w:val="center"/>
          </w:tcPr>
          <w:p>
            <w:pPr>
              <w:widowControl/>
              <w:jc w:val="center"/>
              <w:rPr>
                <w:rFonts w:ascii="宋体" w:cs="宋体"/>
                <w:kern w:val="0"/>
                <w:sz w:val="22"/>
              </w:rPr>
            </w:pPr>
          </w:p>
        </w:tc>
      </w:tr>
      <w:tr>
        <w:tblPrEx>
          <w:tblLayout w:type="fixed"/>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855" w:type="dxa"/>
            <w:tcBorders>
              <w:top w:val="nil"/>
              <w:left w:val="nil"/>
              <w:bottom w:val="single" w:color="auto" w:sz="4" w:space="0"/>
              <w:right w:val="single" w:color="auto" w:sz="4" w:space="0"/>
            </w:tcBorders>
            <w:vAlign w:val="center"/>
          </w:tcPr>
          <w:p>
            <w:pPr>
              <w:widowControl/>
              <w:jc w:val="center"/>
              <w:rPr>
                <w:rFonts w:ascii="宋体" w:cs="宋体"/>
                <w:kern w:val="0"/>
                <w:sz w:val="22"/>
              </w:rPr>
            </w:pPr>
          </w:p>
        </w:tc>
        <w:tc>
          <w:tcPr>
            <w:tcW w:w="406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428.38</w:t>
            </w:r>
          </w:p>
        </w:tc>
      </w:tr>
    </w:tbl>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八、名词解释</w:t>
      </w:r>
    </w:p>
    <w:p>
      <w:pPr>
        <w:pStyle w:val="5"/>
        <w:widowControl/>
        <w:shd w:val="clear" w:color="auto" w:fill="FFFFFF"/>
        <w:spacing w:before="150" w:after="150" w:line="435" w:lineRule="atLeast"/>
        <w:rPr>
          <w:rFonts w:ascii="仿宋" w:hAnsi="仿宋" w:eastAsia="仿宋" w:cs="仿宋"/>
          <w:sz w:val="32"/>
          <w:szCs w:val="32"/>
        </w:rPr>
      </w:pPr>
      <w:r>
        <w:rPr>
          <w:rFonts w:hint="eastAsia" w:ascii="仿宋" w:hAnsi="仿宋" w:eastAsia="仿宋" w:cs="仿宋"/>
          <w:b/>
          <w:sz w:val="32"/>
          <w:szCs w:val="32"/>
          <w:shd w:val="clear" w:color="auto" w:fill="FFFFFF"/>
        </w:rPr>
        <w:t>一般公共预算财政拨款收入</w:t>
      </w:r>
      <w:r>
        <w:rPr>
          <w:rFonts w:hint="eastAsia" w:ascii="仿宋" w:hAnsi="仿宋" w:eastAsia="仿宋" w:cs="仿宋"/>
          <w:sz w:val="32"/>
          <w:szCs w:val="32"/>
          <w:shd w:val="clear" w:color="auto" w:fill="FFFFFF"/>
        </w:rPr>
        <w:t>：指政府凭借国家</w:t>
      </w:r>
      <w:r>
        <w:fldChar w:fldCharType="begin"/>
      </w:r>
      <w:r>
        <w:instrText xml:space="preserve"> HYPERLINK "http://baike.sogou.com/lemma/ShowInnerLink.htm?lemmaId=506505" \t "http://www.hdfx.gov.cn/web/_blank" </w:instrText>
      </w:r>
      <w:r>
        <w:fldChar w:fldCharType="separate"/>
      </w:r>
      <w:r>
        <w:rPr>
          <w:rStyle w:val="9"/>
          <w:rFonts w:hint="eastAsia" w:ascii="仿宋" w:hAnsi="仿宋" w:eastAsia="仿宋" w:cs="仿宋"/>
          <w:color w:val="auto"/>
          <w:sz w:val="32"/>
          <w:szCs w:val="32"/>
          <w:u w:val="none"/>
          <w:shd w:val="clear" w:color="auto" w:fill="FFFFFF"/>
        </w:rPr>
        <w:t>政治权力</w:t>
      </w:r>
      <w:r>
        <w:rPr>
          <w:rStyle w:val="9"/>
          <w:rFonts w:hint="eastAsia" w:ascii="仿宋" w:hAnsi="仿宋" w:eastAsia="仿宋" w:cs="仿宋"/>
          <w:color w:val="auto"/>
          <w:sz w:val="32"/>
          <w:szCs w:val="32"/>
          <w:u w:val="none"/>
          <w:shd w:val="clear" w:color="auto" w:fill="FFFFFF"/>
        </w:rPr>
        <w:fldChar w:fldCharType="end"/>
      </w:r>
      <w:r>
        <w:rPr>
          <w:rFonts w:hint="eastAsia" w:ascii="仿宋" w:hAnsi="仿宋" w:eastAsia="仿宋" w:cs="仿宋"/>
          <w:sz w:val="32"/>
          <w:szCs w:val="32"/>
          <w:shd w:val="clear" w:color="auto" w:fill="FFFFFF"/>
        </w:rPr>
        <w:t>，以社会管理者身份筹集以税收为主体的财政收入，主要用于保障和改善民生、维持国家行政职能正常运转、保障国家安全等方面。</w:t>
      </w:r>
    </w:p>
    <w:p>
      <w:pPr>
        <w:widowControl/>
        <w:rPr>
          <w:rFonts w:ascii="仿宋" w:hAnsi="仿宋" w:eastAsia="仿宋" w:cs="仿宋"/>
          <w:sz w:val="32"/>
          <w:szCs w:val="32"/>
        </w:rPr>
      </w:pPr>
      <w:r>
        <w:rPr>
          <w:rFonts w:hint="eastAsia" w:ascii="仿宋" w:hAnsi="仿宋" w:eastAsia="仿宋" w:cs="仿宋"/>
          <w:b/>
          <w:kern w:val="0"/>
          <w:sz w:val="32"/>
          <w:szCs w:val="32"/>
        </w:rPr>
        <w:t>事业收入</w:t>
      </w:r>
      <w:r>
        <w:rPr>
          <w:rFonts w:hint="eastAsia" w:ascii="仿宋" w:hAnsi="仿宋" w:eastAsia="仿宋" w:cs="仿宋"/>
          <w:kern w:val="0"/>
          <w:sz w:val="32"/>
          <w:szCs w:val="32"/>
        </w:rPr>
        <w:t>：</w:t>
      </w:r>
      <w:r>
        <w:rPr>
          <w:rFonts w:hint="eastAsia" w:ascii="仿宋" w:hAnsi="仿宋" w:eastAsia="仿宋" w:cs="仿宋"/>
          <w:kern w:val="0"/>
          <w:sz w:val="32"/>
          <w:szCs w:val="32"/>
          <w:shd w:val="clear" w:color="auto" w:fill="FFFFFF"/>
        </w:rPr>
        <w:t>指事业单位开展专业业务活动及辅助活动所取得的收入。</w:t>
      </w:r>
    </w:p>
    <w:p>
      <w:pPr>
        <w:widowControl/>
        <w:rPr>
          <w:rFonts w:ascii="仿宋" w:hAnsi="仿宋" w:eastAsia="仿宋" w:cs="仿宋"/>
          <w:sz w:val="32"/>
          <w:szCs w:val="32"/>
        </w:rPr>
      </w:pPr>
      <w:r>
        <w:rPr>
          <w:rFonts w:hint="eastAsia" w:ascii="仿宋" w:hAnsi="仿宋" w:eastAsia="仿宋" w:cs="仿宋"/>
          <w:b/>
          <w:kern w:val="0"/>
          <w:sz w:val="32"/>
          <w:szCs w:val="32"/>
        </w:rPr>
        <w:t>基本支出</w:t>
      </w:r>
      <w:r>
        <w:rPr>
          <w:rFonts w:hint="eastAsia" w:ascii="仿宋" w:hAnsi="仿宋" w:eastAsia="仿宋" w:cs="仿宋"/>
          <w:kern w:val="0"/>
          <w:sz w:val="32"/>
          <w:szCs w:val="32"/>
        </w:rPr>
        <w:t>：是部门支出预算的组成部分</w:t>
      </w:r>
      <w:r>
        <w:rPr>
          <w:rFonts w:ascii="仿宋" w:hAnsi="仿宋" w:eastAsia="仿宋" w:cs="仿宋"/>
          <w:kern w:val="0"/>
          <w:sz w:val="32"/>
          <w:szCs w:val="32"/>
        </w:rPr>
        <w:t>,</w:t>
      </w:r>
      <w:r>
        <w:rPr>
          <w:rFonts w:hint="eastAsia" w:ascii="仿宋" w:hAnsi="仿宋" w:eastAsia="仿宋" w:cs="仿宋"/>
          <w:kern w:val="0"/>
          <w:sz w:val="32"/>
          <w:szCs w:val="32"/>
        </w:rPr>
        <w:t>是行政事业单位为保障其机构正常运转、完成日常工作任务而编制的年度</w:t>
      </w:r>
      <w:r>
        <w:rPr>
          <w:rStyle w:val="8"/>
          <w:rFonts w:hint="eastAsia" w:ascii="仿宋" w:hAnsi="仿宋" w:eastAsia="仿宋" w:cs="仿宋"/>
          <w:i w:val="0"/>
          <w:kern w:val="0"/>
          <w:sz w:val="32"/>
          <w:szCs w:val="32"/>
        </w:rPr>
        <w:t>基本支出</w:t>
      </w:r>
      <w:r>
        <w:rPr>
          <w:rFonts w:hint="eastAsia" w:ascii="仿宋" w:hAnsi="仿宋" w:eastAsia="仿宋" w:cs="仿宋"/>
          <w:kern w:val="0"/>
          <w:sz w:val="32"/>
          <w:szCs w:val="32"/>
        </w:rPr>
        <w:t>计划</w:t>
      </w:r>
      <w:r>
        <w:rPr>
          <w:rFonts w:ascii="仿宋" w:hAnsi="仿宋" w:eastAsia="仿宋" w:cs="仿宋"/>
          <w:kern w:val="0"/>
          <w:sz w:val="32"/>
          <w:szCs w:val="32"/>
        </w:rPr>
        <w:t>,</w:t>
      </w:r>
      <w:r>
        <w:rPr>
          <w:rFonts w:hint="eastAsia" w:ascii="仿宋" w:hAnsi="仿宋" w:eastAsia="仿宋" w:cs="仿宋"/>
          <w:kern w:val="0"/>
          <w:sz w:val="32"/>
          <w:szCs w:val="32"/>
        </w:rPr>
        <w:t>其内容包括人员经费和日常公用经费两部分。各部门要根据国家现有的经费政策和规定测算本部门的人员经费和公用经费</w:t>
      </w:r>
      <w:r>
        <w:rPr>
          <w:rFonts w:ascii="仿宋" w:hAnsi="仿宋" w:eastAsia="仿宋" w:cs="仿宋"/>
          <w:kern w:val="0"/>
          <w:sz w:val="32"/>
          <w:szCs w:val="32"/>
        </w:rPr>
        <w:t> </w:t>
      </w:r>
      <w:r>
        <w:rPr>
          <w:rFonts w:hint="eastAsia" w:ascii="仿宋" w:hAnsi="仿宋" w:eastAsia="仿宋" w:cs="仿宋"/>
          <w:kern w:val="0"/>
          <w:sz w:val="32"/>
          <w:szCs w:val="32"/>
        </w:rPr>
        <w:t>要按照预算年度所有因素和事项</w:t>
      </w:r>
      <w:r>
        <w:rPr>
          <w:rFonts w:ascii="仿宋" w:hAnsi="仿宋" w:eastAsia="仿宋" w:cs="仿宋"/>
          <w:kern w:val="0"/>
          <w:sz w:val="32"/>
          <w:szCs w:val="32"/>
        </w:rPr>
        <w:t>,</w:t>
      </w:r>
      <w:r>
        <w:rPr>
          <w:rFonts w:hint="eastAsia" w:ascii="仿宋" w:hAnsi="仿宋" w:eastAsia="仿宋" w:cs="仿宋"/>
          <w:kern w:val="0"/>
          <w:sz w:val="32"/>
          <w:szCs w:val="32"/>
        </w:rPr>
        <w:t>分别轻重缓急测算每一级科目支出需求。</w:t>
      </w:r>
    </w:p>
    <w:p>
      <w:pPr>
        <w:widowControl/>
        <w:jc w:val="left"/>
        <w:rPr>
          <w:rFonts w:ascii="宋体" w:cs="宋体"/>
          <w:kern w:val="0"/>
          <w:sz w:val="32"/>
          <w:szCs w:val="32"/>
        </w:rPr>
      </w:pPr>
      <w:r>
        <w:rPr>
          <w:rFonts w:hint="eastAsia" w:ascii="仿宋" w:hAnsi="仿宋" w:eastAsia="仿宋" w:cs="仿宋"/>
          <w:b/>
          <w:kern w:val="0"/>
          <w:sz w:val="32"/>
          <w:szCs w:val="32"/>
        </w:rPr>
        <w:t>项目支出</w:t>
      </w:r>
      <w:r>
        <w:rPr>
          <w:rFonts w:hint="eastAsia" w:ascii="仿宋" w:hAnsi="仿宋" w:eastAsia="仿宋" w:cs="仿宋"/>
          <w:kern w:val="0"/>
          <w:sz w:val="32"/>
          <w:szCs w:val="32"/>
        </w:rPr>
        <w:t>：是行政单位为完成特定的工作任务或事业发展目标</w:t>
      </w:r>
      <w:r>
        <w:rPr>
          <w:rFonts w:ascii="仿宋" w:hAnsi="仿宋" w:eastAsia="仿宋" w:cs="仿宋"/>
          <w:kern w:val="0"/>
          <w:sz w:val="32"/>
          <w:szCs w:val="32"/>
        </w:rPr>
        <w:t>,</w:t>
      </w:r>
      <w:r>
        <w:rPr>
          <w:rFonts w:hint="eastAsia" w:ascii="仿宋" w:hAnsi="仿宋" w:eastAsia="仿宋" w:cs="仿宋"/>
          <w:kern w:val="0"/>
          <w:sz w:val="32"/>
          <w:szCs w:val="32"/>
        </w:rPr>
        <w:t>在基本的预算支出以外</w:t>
      </w:r>
      <w:r>
        <w:rPr>
          <w:rFonts w:ascii="仿宋" w:hAnsi="仿宋" w:eastAsia="仿宋" w:cs="仿宋"/>
          <w:kern w:val="0"/>
          <w:sz w:val="32"/>
          <w:szCs w:val="32"/>
        </w:rPr>
        <w:t>,</w:t>
      </w:r>
      <w:r>
        <w:rPr>
          <w:rFonts w:hint="eastAsia" w:ascii="仿宋" w:hAnsi="仿宋" w:eastAsia="仿宋" w:cs="仿宋"/>
          <w:kern w:val="0"/>
          <w:sz w:val="32"/>
          <w:szCs w:val="32"/>
        </w:rPr>
        <w:t>财政预算专款安排的支出。</w:t>
      </w:r>
    </w:p>
    <w:p>
      <w:pPr>
        <w:tabs>
          <w:tab w:val="left" w:pos="11490"/>
        </w:tabs>
        <w:ind w:firstLine="640" w:firstLineChars="200"/>
        <w:rPr>
          <w:rFonts w:ascii="黑体" w:hAnsi="黑体" w:eastAsia="黑体"/>
          <w:sz w:val="32"/>
          <w:szCs w:val="32"/>
        </w:rPr>
      </w:pPr>
      <w:r>
        <w:rPr>
          <w:rFonts w:hint="eastAsia" w:ascii="黑体" w:hAnsi="黑体" w:eastAsia="黑体"/>
          <w:sz w:val="32"/>
          <w:szCs w:val="32"/>
        </w:rPr>
        <w:t>九、其它需要说明的事项</w:t>
      </w:r>
    </w:p>
    <w:p>
      <w:pPr>
        <w:tabs>
          <w:tab w:val="left" w:pos="11490"/>
        </w:tabs>
        <w:ind w:firstLine="643" w:firstLineChars="200"/>
        <w:rPr>
          <w:rFonts w:ascii="仿宋" w:hAnsi="仿宋" w:eastAsia="仿宋" w:cs="仿宋"/>
          <w:sz w:val="32"/>
          <w:szCs w:val="32"/>
        </w:rPr>
      </w:pPr>
      <w:r>
        <w:rPr>
          <w:rFonts w:hint="eastAsia" w:ascii="仿宋" w:hAnsi="仿宋" w:eastAsia="仿宋" w:cs="仿宋"/>
          <w:b/>
          <w:sz w:val="32"/>
          <w:szCs w:val="32"/>
        </w:rPr>
        <w:t>无其它需要说明的事项。</w:t>
      </w:r>
    </w:p>
    <w:p>
      <w:pPr>
        <w:spacing w:line="560" w:lineRule="exact"/>
        <w:rPr>
          <w:rFonts w:ascii="仿宋" w:hAnsi="仿宋" w:eastAsia="仿宋"/>
          <w:sz w:val="32"/>
          <w:szCs w:val="32"/>
        </w:rPr>
      </w:pPr>
    </w:p>
    <w:sectPr>
      <w:footerReference r:id="rId5" w:type="default"/>
      <w:pgSz w:w="16838" w:h="11906" w:orient="landscape"/>
      <w:pgMar w:top="1588" w:right="2098" w:bottom="1474"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40001" w:csb1="00000000"/>
  </w:font>
  <w:font w:name="方正黑体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33</w:t>
    </w:r>
    <w:r>
      <w:rPr>
        <w:rStyle w:val="7"/>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PAGE   \* MERGEFORMAT</w:instrText>
    </w:r>
    <w:r>
      <w:rPr>
        <w:rFonts w:ascii="仿宋" w:hAnsi="仿宋" w:eastAsia="仿宋"/>
        <w:sz w:val="32"/>
        <w:szCs w:val="32"/>
      </w:rPr>
      <w:fldChar w:fldCharType="separate"/>
    </w:r>
    <w:r>
      <w:rPr>
        <w:rFonts w:ascii="仿宋" w:hAnsi="仿宋" w:eastAsia="仿宋"/>
        <w:sz w:val="32"/>
        <w:szCs w:val="32"/>
        <w:lang w:val="zh-CN"/>
      </w:rPr>
      <w:t>8</w:t>
    </w:r>
    <w:r>
      <w:rPr>
        <w:rFonts w:ascii="仿宋" w:hAnsi="仿宋" w:eastAsia="仿宋"/>
        <w:sz w:val="32"/>
        <w:szCs w:val="32"/>
      </w:rP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rPr>
          <w:rFonts w:hint="eastAsia"/>
        </w:rPr>
      </w:pPr>
      <w:r>
        <w:rPr>
          <w:rStyle w:val="10"/>
        </w:rPr>
        <w:sym w:font="Symbol" w:char="F020"/>
      </w:r>
      <w:r>
        <w:rPr>
          <w:rFonts w:hint="eastAsia" w:ascii="方正楷体_GBK" w:eastAsia="方正楷体_GBK"/>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AAA"/>
    <w:rsid w:val="000470F0"/>
    <w:rsid w:val="000A796E"/>
    <w:rsid w:val="00101C7A"/>
    <w:rsid w:val="00131928"/>
    <w:rsid w:val="001A3CB4"/>
    <w:rsid w:val="001C50E1"/>
    <w:rsid w:val="001E0232"/>
    <w:rsid w:val="00206B22"/>
    <w:rsid w:val="002C0317"/>
    <w:rsid w:val="002F6631"/>
    <w:rsid w:val="0037750D"/>
    <w:rsid w:val="003A2D7E"/>
    <w:rsid w:val="003C4C5D"/>
    <w:rsid w:val="00453A06"/>
    <w:rsid w:val="00524AAA"/>
    <w:rsid w:val="005412A2"/>
    <w:rsid w:val="005F4345"/>
    <w:rsid w:val="00747D9E"/>
    <w:rsid w:val="007775CB"/>
    <w:rsid w:val="007C484E"/>
    <w:rsid w:val="007F0D2E"/>
    <w:rsid w:val="00825F97"/>
    <w:rsid w:val="008327A0"/>
    <w:rsid w:val="008B24CF"/>
    <w:rsid w:val="008E5C4B"/>
    <w:rsid w:val="00933068"/>
    <w:rsid w:val="00967063"/>
    <w:rsid w:val="00990CB9"/>
    <w:rsid w:val="009C264C"/>
    <w:rsid w:val="009F0612"/>
    <w:rsid w:val="00A12AE7"/>
    <w:rsid w:val="00A15ADE"/>
    <w:rsid w:val="00A95F51"/>
    <w:rsid w:val="00AC6968"/>
    <w:rsid w:val="00B13EFE"/>
    <w:rsid w:val="00B50088"/>
    <w:rsid w:val="00B500A4"/>
    <w:rsid w:val="00BA6B82"/>
    <w:rsid w:val="00C81B21"/>
    <w:rsid w:val="00D0053B"/>
    <w:rsid w:val="00D119C2"/>
    <w:rsid w:val="00D27A25"/>
    <w:rsid w:val="00D346A8"/>
    <w:rsid w:val="00DE57C8"/>
    <w:rsid w:val="00E87B0C"/>
    <w:rsid w:val="00F14752"/>
    <w:rsid w:val="00F651BA"/>
    <w:rsid w:val="01634FAB"/>
    <w:rsid w:val="01660445"/>
    <w:rsid w:val="01CE1249"/>
    <w:rsid w:val="01DD7EA2"/>
    <w:rsid w:val="01FE30E9"/>
    <w:rsid w:val="02112F17"/>
    <w:rsid w:val="023928F7"/>
    <w:rsid w:val="02CB6192"/>
    <w:rsid w:val="02D1497A"/>
    <w:rsid w:val="02E17A81"/>
    <w:rsid w:val="033059C1"/>
    <w:rsid w:val="03416562"/>
    <w:rsid w:val="03561F49"/>
    <w:rsid w:val="039C7681"/>
    <w:rsid w:val="03B868FF"/>
    <w:rsid w:val="044F2BA3"/>
    <w:rsid w:val="04617EFD"/>
    <w:rsid w:val="047B554E"/>
    <w:rsid w:val="051A050D"/>
    <w:rsid w:val="05CF0883"/>
    <w:rsid w:val="05E554CD"/>
    <w:rsid w:val="05EE1421"/>
    <w:rsid w:val="06200438"/>
    <w:rsid w:val="0646276B"/>
    <w:rsid w:val="06530F74"/>
    <w:rsid w:val="067734CB"/>
    <w:rsid w:val="06875EF8"/>
    <w:rsid w:val="06B30581"/>
    <w:rsid w:val="06BA4F33"/>
    <w:rsid w:val="07614EB3"/>
    <w:rsid w:val="078D2D0D"/>
    <w:rsid w:val="07B81C3C"/>
    <w:rsid w:val="07C63881"/>
    <w:rsid w:val="07D83A2A"/>
    <w:rsid w:val="07FF3238"/>
    <w:rsid w:val="07FF3ABC"/>
    <w:rsid w:val="0886744E"/>
    <w:rsid w:val="08E82F1A"/>
    <w:rsid w:val="09AE0C0D"/>
    <w:rsid w:val="09E867EE"/>
    <w:rsid w:val="0A6171BC"/>
    <w:rsid w:val="0A755C1E"/>
    <w:rsid w:val="0A9F439B"/>
    <w:rsid w:val="0AF26934"/>
    <w:rsid w:val="0B8E1E1A"/>
    <w:rsid w:val="0BAF44B2"/>
    <w:rsid w:val="0BB1527B"/>
    <w:rsid w:val="0C037C09"/>
    <w:rsid w:val="0C2146BF"/>
    <w:rsid w:val="0C2E7249"/>
    <w:rsid w:val="0C7A56D5"/>
    <w:rsid w:val="0D0C7AA6"/>
    <w:rsid w:val="0D1F1323"/>
    <w:rsid w:val="0D792C40"/>
    <w:rsid w:val="0DEB5CC7"/>
    <w:rsid w:val="0EE039C3"/>
    <w:rsid w:val="0EF37A69"/>
    <w:rsid w:val="0F534845"/>
    <w:rsid w:val="0F66632F"/>
    <w:rsid w:val="0F9C44DD"/>
    <w:rsid w:val="101006C3"/>
    <w:rsid w:val="105E208E"/>
    <w:rsid w:val="11086F34"/>
    <w:rsid w:val="11623816"/>
    <w:rsid w:val="11BE7F56"/>
    <w:rsid w:val="12277454"/>
    <w:rsid w:val="12A2747B"/>
    <w:rsid w:val="12CC6AD7"/>
    <w:rsid w:val="131D6CC3"/>
    <w:rsid w:val="13495ACA"/>
    <w:rsid w:val="13CF7792"/>
    <w:rsid w:val="14FF1315"/>
    <w:rsid w:val="15BC0BFD"/>
    <w:rsid w:val="15C775C6"/>
    <w:rsid w:val="15ED30BD"/>
    <w:rsid w:val="161D67BA"/>
    <w:rsid w:val="164053BC"/>
    <w:rsid w:val="168C0999"/>
    <w:rsid w:val="16A60C2F"/>
    <w:rsid w:val="171B48D3"/>
    <w:rsid w:val="17B161D9"/>
    <w:rsid w:val="17B82DF0"/>
    <w:rsid w:val="17FE448E"/>
    <w:rsid w:val="18C13AF0"/>
    <w:rsid w:val="18FC5F75"/>
    <w:rsid w:val="193C7807"/>
    <w:rsid w:val="19526FAA"/>
    <w:rsid w:val="19BE56B7"/>
    <w:rsid w:val="19FE25D3"/>
    <w:rsid w:val="1A7E67F2"/>
    <w:rsid w:val="1B52469A"/>
    <w:rsid w:val="1B623DB1"/>
    <w:rsid w:val="1B7B268F"/>
    <w:rsid w:val="1BBD7C5D"/>
    <w:rsid w:val="1BDD5A68"/>
    <w:rsid w:val="1BDE5824"/>
    <w:rsid w:val="1C4E2BDB"/>
    <w:rsid w:val="1C906771"/>
    <w:rsid w:val="1CE25424"/>
    <w:rsid w:val="1D0737E4"/>
    <w:rsid w:val="1D35519E"/>
    <w:rsid w:val="1D4D5E2C"/>
    <w:rsid w:val="1D671E69"/>
    <w:rsid w:val="1E1B3CFF"/>
    <w:rsid w:val="1E866EFE"/>
    <w:rsid w:val="1E8D337F"/>
    <w:rsid w:val="1F765077"/>
    <w:rsid w:val="1FA51758"/>
    <w:rsid w:val="1FA91A7E"/>
    <w:rsid w:val="1FC8115B"/>
    <w:rsid w:val="205D0634"/>
    <w:rsid w:val="2079162D"/>
    <w:rsid w:val="20BD2488"/>
    <w:rsid w:val="20D14F41"/>
    <w:rsid w:val="216E0453"/>
    <w:rsid w:val="217B6F79"/>
    <w:rsid w:val="219D3218"/>
    <w:rsid w:val="21E958B0"/>
    <w:rsid w:val="22112325"/>
    <w:rsid w:val="222E4760"/>
    <w:rsid w:val="22345E33"/>
    <w:rsid w:val="22C25570"/>
    <w:rsid w:val="22E13184"/>
    <w:rsid w:val="23441AFB"/>
    <w:rsid w:val="23DF771F"/>
    <w:rsid w:val="243D38E4"/>
    <w:rsid w:val="249F2886"/>
    <w:rsid w:val="25523B28"/>
    <w:rsid w:val="25636348"/>
    <w:rsid w:val="25805CAE"/>
    <w:rsid w:val="261B030E"/>
    <w:rsid w:val="265A21CB"/>
    <w:rsid w:val="26DB23E5"/>
    <w:rsid w:val="272A366F"/>
    <w:rsid w:val="274514EA"/>
    <w:rsid w:val="274C7447"/>
    <w:rsid w:val="27604BA4"/>
    <w:rsid w:val="278F5400"/>
    <w:rsid w:val="27A01336"/>
    <w:rsid w:val="27A6535E"/>
    <w:rsid w:val="27CC35C1"/>
    <w:rsid w:val="282853CE"/>
    <w:rsid w:val="28540068"/>
    <w:rsid w:val="285A2327"/>
    <w:rsid w:val="285B67E0"/>
    <w:rsid w:val="28624CA5"/>
    <w:rsid w:val="288B4C64"/>
    <w:rsid w:val="290D0E5F"/>
    <w:rsid w:val="29315F09"/>
    <w:rsid w:val="299C30BF"/>
    <w:rsid w:val="299F1E7A"/>
    <w:rsid w:val="2A02775B"/>
    <w:rsid w:val="2A0D63C0"/>
    <w:rsid w:val="2A3D0F19"/>
    <w:rsid w:val="2A565D11"/>
    <w:rsid w:val="2AA404E7"/>
    <w:rsid w:val="2AB7414A"/>
    <w:rsid w:val="2B584A1E"/>
    <w:rsid w:val="2B796D5F"/>
    <w:rsid w:val="2B7A0DCB"/>
    <w:rsid w:val="2B9C5CFC"/>
    <w:rsid w:val="2C140312"/>
    <w:rsid w:val="2CD04A74"/>
    <w:rsid w:val="2D377F9C"/>
    <w:rsid w:val="2DE26EE9"/>
    <w:rsid w:val="2E2A4715"/>
    <w:rsid w:val="2E415A28"/>
    <w:rsid w:val="2EDB527B"/>
    <w:rsid w:val="2EDE0575"/>
    <w:rsid w:val="2FC87E63"/>
    <w:rsid w:val="2FD50C06"/>
    <w:rsid w:val="31684262"/>
    <w:rsid w:val="318225A6"/>
    <w:rsid w:val="31C064A7"/>
    <w:rsid w:val="322F4F07"/>
    <w:rsid w:val="32360445"/>
    <w:rsid w:val="32B63790"/>
    <w:rsid w:val="33DF696A"/>
    <w:rsid w:val="3584586B"/>
    <w:rsid w:val="35A83AF5"/>
    <w:rsid w:val="36680D5B"/>
    <w:rsid w:val="367866D3"/>
    <w:rsid w:val="368358D6"/>
    <w:rsid w:val="36B31617"/>
    <w:rsid w:val="3718607B"/>
    <w:rsid w:val="37332C77"/>
    <w:rsid w:val="37B71B6F"/>
    <w:rsid w:val="39C36A3F"/>
    <w:rsid w:val="3A06026A"/>
    <w:rsid w:val="3A376979"/>
    <w:rsid w:val="3A4123D2"/>
    <w:rsid w:val="3A534CEA"/>
    <w:rsid w:val="3AB43A2C"/>
    <w:rsid w:val="3AE730E7"/>
    <w:rsid w:val="3B303A06"/>
    <w:rsid w:val="3BAE55D1"/>
    <w:rsid w:val="3BEE0E75"/>
    <w:rsid w:val="3C58292F"/>
    <w:rsid w:val="3C6F528E"/>
    <w:rsid w:val="3C6F7672"/>
    <w:rsid w:val="3C8873AF"/>
    <w:rsid w:val="3CC204D5"/>
    <w:rsid w:val="3D616EDC"/>
    <w:rsid w:val="3D886ABB"/>
    <w:rsid w:val="3E5231D1"/>
    <w:rsid w:val="3E5F6E91"/>
    <w:rsid w:val="3EEF2607"/>
    <w:rsid w:val="3EF50C15"/>
    <w:rsid w:val="3F506E4D"/>
    <w:rsid w:val="400A2A03"/>
    <w:rsid w:val="405E7482"/>
    <w:rsid w:val="408A2459"/>
    <w:rsid w:val="4185530C"/>
    <w:rsid w:val="41A81487"/>
    <w:rsid w:val="41AE3941"/>
    <w:rsid w:val="41B749CA"/>
    <w:rsid w:val="41DB397C"/>
    <w:rsid w:val="424203ED"/>
    <w:rsid w:val="42517A68"/>
    <w:rsid w:val="4264416F"/>
    <w:rsid w:val="42734E2A"/>
    <w:rsid w:val="429877B1"/>
    <w:rsid w:val="42E80550"/>
    <w:rsid w:val="42F14A06"/>
    <w:rsid w:val="43210CFA"/>
    <w:rsid w:val="433505C9"/>
    <w:rsid w:val="43AC0E71"/>
    <w:rsid w:val="43C866B8"/>
    <w:rsid w:val="43F1545D"/>
    <w:rsid w:val="43F228A8"/>
    <w:rsid w:val="43FF785D"/>
    <w:rsid w:val="443864D0"/>
    <w:rsid w:val="44550A25"/>
    <w:rsid w:val="44830320"/>
    <w:rsid w:val="44D65AB9"/>
    <w:rsid w:val="4542741A"/>
    <w:rsid w:val="45EF4473"/>
    <w:rsid w:val="46847C5E"/>
    <w:rsid w:val="46C57D76"/>
    <w:rsid w:val="46D50ED5"/>
    <w:rsid w:val="46E20BEE"/>
    <w:rsid w:val="471B7C8A"/>
    <w:rsid w:val="47620C39"/>
    <w:rsid w:val="478F1051"/>
    <w:rsid w:val="47ED463C"/>
    <w:rsid w:val="4838363A"/>
    <w:rsid w:val="48415FB3"/>
    <w:rsid w:val="48D17111"/>
    <w:rsid w:val="49041872"/>
    <w:rsid w:val="494219D8"/>
    <w:rsid w:val="4950124D"/>
    <w:rsid w:val="4A2958DB"/>
    <w:rsid w:val="4A3219BD"/>
    <w:rsid w:val="4A556B11"/>
    <w:rsid w:val="4B092126"/>
    <w:rsid w:val="4BBE4C4C"/>
    <w:rsid w:val="4BD17450"/>
    <w:rsid w:val="4BF357BC"/>
    <w:rsid w:val="4C167A5D"/>
    <w:rsid w:val="4C951B28"/>
    <w:rsid w:val="4D0219E5"/>
    <w:rsid w:val="4D957075"/>
    <w:rsid w:val="4DEC6634"/>
    <w:rsid w:val="4EEA2ED5"/>
    <w:rsid w:val="4F371129"/>
    <w:rsid w:val="4F655161"/>
    <w:rsid w:val="4F92190A"/>
    <w:rsid w:val="4FBF30C2"/>
    <w:rsid w:val="4FF17BB1"/>
    <w:rsid w:val="503564AA"/>
    <w:rsid w:val="50FD37E6"/>
    <w:rsid w:val="51A16F93"/>
    <w:rsid w:val="51F33A04"/>
    <w:rsid w:val="51F4420A"/>
    <w:rsid w:val="52052F15"/>
    <w:rsid w:val="52BC70F4"/>
    <w:rsid w:val="52D57F6A"/>
    <w:rsid w:val="52DC16A4"/>
    <w:rsid w:val="530A6739"/>
    <w:rsid w:val="53171B97"/>
    <w:rsid w:val="531819AF"/>
    <w:rsid w:val="53496173"/>
    <w:rsid w:val="53F86931"/>
    <w:rsid w:val="541D2F2F"/>
    <w:rsid w:val="543C78A2"/>
    <w:rsid w:val="54401758"/>
    <w:rsid w:val="547A3622"/>
    <w:rsid w:val="548E3B5A"/>
    <w:rsid w:val="54921F2D"/>
    <w:rsid w:val="54B62810"/>
    <w:rsid w:val="54F811ED"/>
    <w:rsid w:val="552B6FC5"/>
    <w:rsid w:val="55BC779D"/>
    <w:rsid w:val="56235A38"/>
    <w:rsid w:val="565839AA"/>
    <w:rsid w:val="57384682"/>
    <w:rsid w:val="57646A70"/>
    <w:rsid w:val="5788106D"/>
    <w:rsid w:val="580A0D2B"/>
    <w:rsid w:val="58481069"/>
    <w:rsid w:val="58A1182B"/>
    <w:rsid w:val="58F476A8"/>
    <w:rsid w:val="594403B9"/>
    <w:rsid w:val="594C7FD9"/>
    <w:rsid w:val="59701056"/>
    <w:rsid w:val="5A05644E"/>
    <w:rsid w:val="5A7351ED"/>
    <w:rsid w:val="5AB51CB9"/>
    <w:rsid w:val="5B02078E"/>
    <w:rsid w:val="5B171080"/>
    <w:rsid w:val="5B1903AD"/>
    <w:rsid w:val="5B2D2723"/>
    <w:rsid w:val="5B4A3DB6"/>
    <w:rsid w:val="5C5A027B"/>
    <w:rsid w:val="5CE64715"/>
    <w:rsid w:val="5D0E595A"/>
    <w:rsid w:val="5DBF6E1A"/>
    <w:rsid w:val="5EBF100B"/>
    <w:rsid w:val="5F462224"/>
    <w:rsid w:val="5F543081"/>
    <w:rsid w:val="603E08E5"/>
    <w:rsid w:val="606642DC"/>
    <w:rsid w:val="617732A8"/>
    <w:rsid w:val="61C2788E"/>
    <w:rsid w:val="61E70589"/>
    <w:rsid w:val="62454B01"/>
    <w:rsid w:val="631F0D78"/>
    <w:rsid w:val="63E2609F"/>
    <w:rsid w:val="64126340"/>
    <w:rsid w:val="641576F5"/>
    <w:rsid w:val="64D16667"/>
    <w:rsid w:val="650647AB"/>
    <w:rsid w:val="65445CA4"/>
    <w:rsid w:val="65674528"/>
    <w:rsid w:val="65D41765"/>
    <w:rsid w:val="66160D29"/>
    <w:rsid w:val="666007E7"/>
    <w:rsid w:val="669F5FCF"/>
    <w:rsid w:val="67867F09"/>
    <w:rsid w:val="67990B84"/>
    <w:rsid w:val="67F91E7D"/>
    <w:rsid w:val="680974FA"/>
    <w:rsid w:val="68C246BB"/>
    <w:rsid w:val="69167135"/>
    <w:rsid w:val="69980619"/>
    <w:rsid w:val="69A92A53"/>
    <w:rsid w:val="69D6164F"/>
    <w:rsid w:val="69DE2B6F"/>
    <w:rsid w:val="6A8C17FB"/>
    <w:rsid w:val="6ABA6CB4"/>
    <w:rsid w:val="6ABC30EC"/>
    <w:rsid w:val="6B6607A7"/>
    <w:rsid w:val="6B817FA0"/>
    <w:rsid w:val="6B8535A0"/>
    <w:rsid w:val="6BE75A36"/>
    <w:rsid w:val="6CBA34E6"/>
    <w:rsid w:val="6DC64717"/>
    <w:rsid w:val="6DE112AF"/>
    <w:rsid w:val="6E54063B"/>
    <w:rsid w:val="6EF542E9"/>
    <w:rsid w:val="6F1E3C5E"/>
    <w:rsid w:val="6F4C77D4"/>
    <w:rsid w:val="6FE74B55"/>
    <w:rsid w:val="702218C8"/>
    <w:rsid w:val="702D3820"/>
    <w:rsid w:val="70414905"/>
    <w:rsid w:val="70485F1A"/>
    <w:rsid w:val="70642245"/>
    <w:rsid w:val="70B15460"/>
    <w:rsid w:val="71D2135C"/>
    <w:rsid w:val="71EE1D5D"/>
    <w:rsid w:val="7219451C"/>
    <w:rsid w:val="7298586B"/>
    <w:rsid w:val="72D01AFB"/>
    <w:rsid w:val="736A4F41"/>
    <w:rsid w:val="73A16952"/>
    <w:rsid w:val="73AF028D"/>
    <w:rsid w:val="73BE2983"/>
    <w:rsid w:val="73C65C87"/>
    <w:rsid w:val="740A21F7"/>
    <w:rsid w:val="74B40DDA"/>
    <w:rsid w:val="74C127C3"/>
    <w:rsid w:val="74D23DE2"/>
    <w:rsid w:val="74EC17F7"/>
    <w:rsid w:val="75AF1D38"/>
    <w:rsid w:val="75ED03E7"/>
    <w:rsid w:val="76175E71"/>
    <w:rsid w:val="766352F2"/>
    <w:rsid w:val="77245AB2"/>
    <w:rsid w:val="776C06D2"/>
    <w:rsid w:val="78BE7DFB"/>
    <w:rsid w:val="78D1036C"/>
    <w:rsid w:val="78D809BF"/>
    <w:rsid w:val="78E905D8"/>
    <w:rsid w:val="791644DD"/>
    <w:rsid w:val="79173355"/>
    <w:rsid w:val="79D949D3"/>
    <w:rsid w:val="79DD62E2"/>
    <w:rsid w:val="7A19540B"/>
    <w:rsid w:val="7A1F1BD7"/>
    <w:rsid w:val="7AC16A29"/>
    <w:rsid w:val="7B135315"/>
    <w:rsid w:val="7B250010"/>
    <w:rsid w:val="7BBE3DBB"/>
    <w:rsid w:val="7BC61A73"/>
    <w:rsid w:val="7BF2543D"/>
    <w:rsid w:val="7CA52D32"/>
    <w:rsid w:val="7D011FC5"/>
    <w:rsid w:val="7DA066D5"/>
    <w:rsid w:val="7DB30998"/>
    <w:rsid w:val="7DDD248E"/>
    <w:rsid w:val="7E827519"/>
    <w:rsid w:val="7E9259BA"/>
    <w:rsid w:val="7EE553BC"/>
    <w:rsid w:val="7F645BCB"/>
    <w:rsid w:val="7F883F0C"/>
    <w:rsid w:val="7FF937E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2"/>
      <w:lang w:val="en-US" w:eastAsia="zh-CN" w:bidi="ar-SA"/>
    </w:rPr>
  </w:style>
  <w:style w:type="character" w:default="1" w:styleId="6">
    <w:name w:val="Default Paragraph Font"/>
    <w:semiHidden/>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2"/>
    <w:uiPriority w:val="99"/>
    <w:pPr>
      <w:tabs>
        <w:tab w:val="center" w:pos="4153"/>
        <w:tab w:val="right" w:pos="8306"/>
      </w:tabs>
      <w:snapToGrid w:val="0"/>
      <w:jc w:val="left"/>
    </w:pPr>
    <w:rPr>
      <w:sz w:val="18"/>
      <w:szCs w:val="18"/>
    </w:rPr>
  </w:style>
  <w:style w:type="paragraph" w:styleId="3">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semiHidden/>
    <w:unhideWhenUsed/>
    <w:qFormat/>
    <w:uiPriority w:val="99"/>
    <w:pPr>
      <w:snapToGrid w:val="0"/>
      <w:jc w:val="left"/>
    </w:pPr>
    <w:rPr>
      <w:sz w:val="18"/>
      <w:szCs w:val="18"/>
    </w:rPr>
  </w:style>
  <w:style w:type="paragraph" w:styleId="5">
    <w:name w:val="HTML Preformatted"/>
    <w:basedOn w:val="1"/>
    <w:link w:val="14"/>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styleId="7">
    <w:name w:val="page number"/>
    <w:basedOn w:val="6"/>
    <w:semiHidden/>
    <w:unhideWhenUsed/>
    <w:qFormat/>
    <w:uiPriority w:val="99"/>
  </w:style>
  <w:style w:type="character" w:styleId="8">
    <w:name w:val="Emphasis"/>
    <w:basedOn w:val="6"/>
    <w:qFormat/>
    <w:uiPriority w:val="99"/>
    <w:rPr>
      <w:rFonts w:cs="Times New Roman"/>
      <w:i/>
    </w:rPr>
  </w:style>
  <w:style w:type="character" w:styleId="9">
    <w:name w:val="Hyperlink"/>
    <w:basedOn w:val="6"/>
    <w:qFormat/>
    <w:uiPriority w:val="99"/>
    <w:rPr>
      <w:rFonts w:cs="Times New Roman"/>
      <w:color w:val="0000FF"/>
      <w:u w:val="single"/>
    </w:rPr>
  </w:style>
  <w:style w:type="character" w:styleId="10">
    <w:name w:val="footnote reference"/>
    <w:basedOn w:val="6"/>
    <w:semiHidden/>
    <w:unhideWhenUsed/>
    <w:uiPriority w:val="99"/>
    <w:rPr>
      <w:vertAlign w:val="superscript"/>
    </w:rPr>
  </w:style>
  <w:style w:type="character" w:customStyle="1" w:styleId="12">
    <w:name w:val="Footer Char"/>
    <w:basedOn w:val="6"/>
    <w:link w:val="2"/>
    <w:qFormat/>
    <w:locked/>
    <w:uiPriority w:val="99"/>
    <w:rPr>
      <w:rFonts w:cs="Times New Roman"/>
      <w:sz w:val="18"/>
      <w:szCs w:val="18"/>
    </w:rPr>
  </w:style>
  <w:style w:type="character" w:customStyle="1" w:styleId="13">
    <w:name w:val="Header Char"/>
    <w:basedOn w:val="6"/>
    <w:link w:val="3"/>
    <w:qFormat/>
    <w:locked/>
    <w:uiPriority w:val="99"/>
    <w:rPr>
      <w:rFonts w:cs="Times New Roman"/>
      <w:sz w:val="18"/>
      <w:szCs w:val="18"/>
    </w:rPr>
  </w:style>
  <w:style w:type="character" w:customStyle="1" w:styleId="14">
    <w:name w:val="HTML Preformatted Char"/>
    <w:basedOn w:val="6"/>
    <w:link w:val="5"/>
    <w:semiHidden/>
    <w:qFormat/>
    <w:locked/>
    <w:uiPriority w:val="99"/>
    <w:rPr>
      <w:rFonts w:ascii="Courier New" w:hAnsi="Courier New" w:cs="Courier New"/>
      <w:sz w:val="20"/>
      <w:szCs w:val="20"/>
    </w:rPr>
  </w:style>
  <w:style w:type="paragraph" w:customStyle="1" w:styleId="15">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557</Words>
  <Characters>3180</Characters>
  <Lines>0</Lines>
  <Paragraphs>0</Paragraphs>
  <TotalTime>5</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2017-06-24T03:13:00Z</dcterms:created>
  <dc:creator>旭东</dc:creator>
  <cp:lastModifiedBy>123456</cp:lastModifiedBy>
  <dcterms:modified xsi:type="dcterms:W3CDTF">2019-02-03T02:45:51Z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